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6DF5" w14:textId="77777777" w:rsidR="005475E9" w:rsidRPr="005475E9" w:rsidRDefault="005475E9" w:rsidP="005475E9">
      <w:pPr>
        <w:rPr>
          <w:b/>
          <w:bCs/>
        </w:rPr>
      </w:pPr>
      <w:r w:rsidRPr="005475E9">
        <w:rPr>
          <w:b/>
          <w:bCs/>
        </w:rPr>
        <w:t>Inclusive early years fund for 2026 to 2027</w:t>
      </w:r>
    </w:p>
    <w:p w14:paraId="5E8B8550" w14:textId="39640F03" w:rsidR="002E4CF4" w:rsidRPr="00A11A3C" w:rsidRDefault="005475E9">
      <w:pPr>
        <w:rPr>
          <w:b/>
          <w:bCs/>
        </w:rPr>
      </w:pPr>
      <w:r w:rsidRPr="00A11A3C">
        <w:rPr>
          <w:b/>
          <w:bCs/>
        </w:rPr>
        <w:t>Announced 25 March 2026</w:t>
      </w:r>
    </w:p>
    <w:p w14:paraId="55E17A7B" w14:textId="77777777" w:rsidR="005475E9" w:rsidRDefault="005475E9">
      <w:r w:rsidRPr="005475E9">
        <w:t xml:space="preserve">The inclusive early years fund is being paid by the Secretary of State for Education to eligible local authorities in </w:t>
      </w:r>
      <w:r>
        <w:t>2026-27</w:t>
      </w:r>
      <w:r w:rsidRPr="005475E9">
        <w:t xml:space="preserve">. </w:t>
      </w:r>
    </w:p>
    <w:p w14:paraId="7B772540" w14:textId="4E10A479" w:rsidR="005475E9" w:rsidRDefault="005475E9">
      <w:r>
        <w:t xml:space="preserve">The DfE set conditions on how we must use the </w:t>
      </w:r>
      <w:r w:rsidR="004F0157">
        <w:t>grant and</w:t>
      </w:r>
      <w:r>
        <w:t xml:space="preserve"> have published guidance that we are expected to follow.</w:t>
      </w:r>
    </w:p>
    <w:p w14:paraId="1F6BADB1" w14:textId="0D7FE244" w:rsidR="005475E9" w:rsidRPr="005475E9" w:rsidRDefault="005475E9" w:rsidP="005475E9">
      <w:r>
        <w:t>T</w:t>
      </w:r>
      <w:r w:rsidRPr="005475E9">
        <w:t>he </w:t>
      </w:r>
      <w:hyperlink r:id="rId5" w:history="1">
        <w:r w:rsidRPr="005475E9">
          <w:rPr>
            <w:rStyle w:val="Hyperlink"/>
          </w:rPr>
          <w:t>inclusive mainstream fund</w:t>
        </w:r>
      </w:hyperlink>
      <w:r w:rsidRPr="005475E9">
        <w:t xml:space="preserve">, </w:t>
      </w:r>
      <w:r>
        <w:t xml:space="preserve">nationally is </w:t>
      </w:r>
      <w:r w:rsidRPr="005475E9">
        <w:t>worth over £500 million per year. As part of this, the inclusive early years fund will provide £47 million of additional early years funding in 2026 to 2027 to support the early years sector to become more inclusive of children with special educational needs and disabilities (SEND).</w:t>
      </w:r>
    </w:p>
    <w:p w14:paraId="00F327C3" w14:textId="4DB95F05" w:rsidR="005475E9" w:rsidRPr="005475E9" w:rsidRDefault="005475E9" w:rsidP="005475E9">
      <w:r>
        <w:t>The gvt say that t</w:t>
      </w:r>
      <w:r w:rsidRPr="005475E9">
        <w:t xml:space="preserve">his funding </w:t>
      </w:r>
      <w:r>
        <w:t>is</w:t>
      </w:r>
      <w:r w:rsidRPr="005475E9">
        <w:t xml:space="preserve"> a first step towards a more coherent and inclusive early years SEND funding system. It is upfront funding intended to</w:t>
      </w:r>
      <w:r w:rsidR="0067292E">
        <w:t xml:space="preserve"> support activities that</w:t>
      </w:r>
      <w:r w:rsidRPr="005475E9">
        <w:t>:</w:t>
      </w:r>
    </w:p>
    <w:p w14:paraId="0B4909C2" w14:textId="10B5948F" w:rsidR="005475E9" w:rsidRPr="005475E9" w:rsidRDefault="0067292E" w:rsidP="005475E9">
      <w:pPr>
        <w:numPr>
          <w:ilvl w:val="0"/>
          <w:numId w:val="1"/>
        </w:numPr>
      </w:pPr>
      <w:r>
        <w:t xml:space="preserve">Support strategic planning - </w:t>
      </w:r>
      <w:r w:rsidR="005475E9" w:rsidRPr="005475E9">
        <w:t>help providers adopt setting-wide inclusive practices</w:t>
      </w:r>
    </w:p>
    <w:p w14:paraId="0C080783" w14:textId="7078DCA8" w:rsidR="005475E9" w:rsidRPr="005475E9" w:rsidRDefault="0067292E" w:rsidP="005475E9">
      <w:pPr>
        <w:numPr>
          <w:ilvl w:val="0"/>
          <w:numId w:val="1"/>
        </w:numPr>
      </w:pPr>
      <w:r>
        <w:t xml:space="preserve">Develop the work force and </w:t>
      </w:r>
      <w:r w:rsidR="005475E9" w:rsidRPr="005475E9">
        <w:t>reduce reliance on individual child-based funding applications</w:t>
      </w:r>
    </w:p>
    <w:p w14:paraId="2B14D5C4" w14:textId="4E6B3BC9" w:rsidR="005475E9" w:rsidRPr="005475E9" w:rsidRDefault="0067292E" w:rsidP="005475E9">
      <w:pPr>
        <w:numPr>
          <w:ilvl w:val="0"/>
          <w:numId w:val="1"/>
        </w:numPr>
      </w:pPr>
      <w:r>
        <w:t xml:space="preserve">Adaptations or resources to create a more inclusive environment to </w:t>
      </w:r>
      <w:r w:rsidR="005475E9" w:rsidRPr="005475E9">
        <w:t>enable early intervention for children with SEND</w:t>
      </w:r>
    </w:p>
    <w:p w14:paraId="59597FA1" w14:textId="77777777" w:rsidR="005475E9" w:rsidRDefault="005475E9" w:rsidP="005475E9">
      <w:r w:rsidRPr="005475E9">
        <w:t>In 2026 to 2027, the inclusive early years fund complements existing funding such as special educational needs inclusion fund (SENIF), disability access funding (DAF), and high needs funding, while signalling the direction of future reform to create a simpler, more consistent approach to supporting inclusion across all early years providers.</w:t>
      </w:r>
    </w:p>
    <w:p w14:paraId="0602268E" w14:textId="4FEF6CB0" w:rsidR="005475E9" w:rsidRDefault="005475E9" w:rsidP="005475E9">
      <w:r w:rsidRPr="005475E9">
        <w:t xml:space="preserve">The guidance and conditions of grant in this document </w:t>
      </w:r>
      <w:r>
        <w:t xml:space="preserve">only </w:t>
      </w:r>
      <w:r w:rsidRPr="005475E9">
        <w:t>cover</w:t>
      </w:r>
      <w:r>
        <w:t>s</w:t>
      </w:r>
      <w:r w:rsidRPr="005475E9">
        <w:t xml:space="preserve"> the financial year 2026 to 2027. </w:t>
      </w:r>
      <w:r>
        <w:t>The gvt</w:t>
      </w:r>
      <w:r w:rsidRPr="005475E9">
        <w:t xml:space="preserve"> will consider opportunities in future years to simplify early years SEND funding and reduce bureaucracy</w:t>
      </w:r>
      <w:r>
        <w:t xml:space="preserve">. </w:t>
      </w:r>
    </w:p>
    <w:p w14:paraId="342A584E" w14:textId="1735A3EC" w:rsidR="0067292E" w:rsidRDefault="0067292E" w:rsidP="005475E9">
      <w:r w:rsidRPr="0067292E">
        <w:t>The inclusive early years fund also provides funding for the 2027 to 2028 and 2028 to 2029 financial years. The approach to distributing this funding in future years will be confirmed alongside the early years (EY) funding arrangements for the respective years.</w:t>
      </w:r>
    </w:p>
    <w:p w14:paraId="66641045" w14:textId="6A1AE7F0" w:rsidR="005475E9" w:rsidRDefault="005475E9" w:rsidP="005475E9">
      <w:r>
        <w:t>L</w:t>
      </w:r>
      <w:r w:rsidRPr="005475E9">
        <w:t>ocal authorities must only fund early years providers that deliver the government’s free early years entitlements.</w:t>
      </w:r>
      <w:r>
        <w:t xml:space="preserve"> All funding must be passed to EY providers, none is retained centrally</w:t>
      </w:r>
      <w:r w:rsidR="0067292E">
        <w:t xml:space="preserve">, and none can be used to offset any existing spend e.g. SENIF or contingency. </w:t>
      </w:r>
      <w:r>
        <w:t xml:space="preserve"> </w:t>
      </w:r>
    </w:p>
    <w:p w14:paraId="0AEA4444" w14:textId="29565325" w:rsidR="005475E9" w:rsidRDefault="005475E9" w:rsidP="005475E9">
      <w:r w:rsidRPr="005475E9">
        <w:t xml:space="preserve">Final allocations </w:t>
      </w:r>
      <w:r w:rsidR="0067292E">
        <w:t xml:space="preserve">from the gvt </w:t>
      </w:r>
      <w:r w:rsidRPr="005475E9">
        <w:t>for the inclusive early years fund will be published in July 2026.</w:t>
      </w:r>
    </w:p>
    <w:p w14:paraId="49D98AAD" w14:textId="14030109" w:rsidR="005475E9" w:rsidRDefault="005475E9" w:rsidP="005475E9">
      <w:r>
        <w:t>Local authorities are expected to:</w:t>
      </w:r>
    </w:p>
    <w:p w14:paraId="39A9DE7F" w14:textId="77777777" w:rsidR="005475E9" w:rsidRDefault="005475E9" w:rsidP="005475E9">
      <w:pPr>
        <w:pStyle w:val="ListParagraph"/>
        <w:numPr>
          <w:ilvl w:val="0"/>
          <w:numId w:val="2"/>
        </w:numPr>
      </w:pPr>
      <w:r>
        <w:t>communicate details of the local approach to distribution and indicative allocations to DfE and providers before the end of May 2026</w:t>
      </w:r>
    </w:p>
    <w:p w14:paraId="46E5789A" w14:textId="44C98B33" w:rsidR="005475E9" w:rsidRDefault="005475E9" w:rsidP="005475E9">
      <w:pPr>
        <w:pStyle w:val="ListParagraph"/>
        <w:numPr>
          <w:ilvl w:val="0"/>
          <w:numId w:val="2"/>
        </w:numPr>
      </w:pPr>
      <w:r>
        <w:t>confirm allocations before the end of August 2026</w:t>
      </w:r>
    </w:p>
    <w:p w14:paraId="4ED49DA1" w14:textId="5F0F06B6" w:rsidR="005475E9" w:rsidRPr="000C1F57" w:rsidRDefault="005475E9" w:rsidP="005475E9">
      <w:pPr>
        <w:pStyle w:val="ListParagraph"/>
        <w:numPr>
          <w:ilvl w:val="0"/>
          <w:numId w:val="2"/>
        </w:numPr>
      </w:pPr>
      <w:r w:rsidRPr="005475E9">
        <w:t>be clear with providers and engage with them early to share details of how and when they plan to allocate funding, where this is possible and does not create excessive delays in finalising allocations and making payments to providers</w:t>
      </w:r>
      <w:r w:rsidR="0067292E">
        <w:t xml:space="preserve">. </w:t>
      </w:r>
      <w:r w:rsidR="000C1F57">
        <w:t xml:space="preserve">LAs </w:t>
      </w:r>
      <w:r w:rsidR="000C1F57" w:rsidRPr="000C1F57">
        <w:t xml:space="preserve">do not need to consult with their schools forum </w:t>
      </w:r>
      <w:r w:rsidR="000C1F57">
        <w:t xml:space="preserve">or EY providers </w:t>
      </w:r>
      <w:r w:rsidR="000C1F57" w:rsidRPr="000C1F57">
        <w:t>on passing on the inclusive early years fund funding to early years providers</w:t>
      </w:r>
      <w:r w:rsidR="000C1F57">
        <w:t xml:space="preserve">. </w:t>
      </w:r>
    </w:p>
    <w:p w14:paraId="080383A9" w14:textId="0DEA3B8A" w:rsidR="005475E9" w:rsidRDefault="005475E9" w:rsidP="005475E9">
      <w:r>
        <w:lastRenderedPageBreak/>
        <w:t xml:space="preserve">Solihull will receive £58.79 per PTE at Jan 2026 school census, and Early Years census. We estimate our total grant will be £182,300. </w:t>
      </w:r>
    </w:p>
    <w:p w14:paraId="1B2F420C" w14:textId="495201C6" w:rsidR="0067292E" w:rsidRPr="0067292E" w:rsidRDefault="0067292E" w:rsidP="005475E9">
      <w:pPr>
        <w:rPr>
          <w:b/>
          <w:bCs/>
        </w:rPr>
      </w:pPr>
      <w:r w:rsidRPr="0067292E">
        <w:rPr>
          <w:b/>
          <w:bCs/>
        </w:rPr>
        <w:t>Allocation of funding to providers:</w:t>
      </w:r>
    </w:p>
    <w:p w14:paraId="22D4B374" w14:textId="106FD0D3" w:rsidR="0067292E" w:rsidRDefault="0067292E" w:rsidP="005475E9">
      <w:r>
        <w:t xml:space="preserve">Funding is to be provided </w:t>
      </w:r>
    </w:p>
    <w:p w14:paraId="5E069C13" w14:textId="77777777" w:rsidR="0067292E" w:rsidRPr="0067292E" w:rsidRDefault="0067292E" w:rsidP="0067292E">
      <w:pPr>
        <w:numPr>
          <w:ilvl w:val="0"/>
          <w:numId w:val="3"/>
        </w:numPr>
      </w:pPr>
      <w:r w:rsidRPr="0067292E">
        <w:t>upfront</w:t>
      </w:r>
    </w:p>
    <w:p w14:paraId="3E9E5F57" w14:textId="77777777" w:rsidR="0067292E" w:rsidRPr="0067292E" w:rsidRDefault="0067292E" w:rsidP="0067292E">
      <w:pPr>
        <w:numPr>
          <w:ilvl w:val="0"/>
          <w:numId w:val="3"/>
        </w:numPr>
      </w:pPr>
      <w:r w:rsidRPr="0067292E">
        <w:t>without requiring panel or application processes</w:t>
      </w:r>
    </w:p>
    <w:p w14:paraId="5CBC6FA9" w14:textId="77777777" w:rsidR="0067292E" w:rsidRPr="0067292E" w:rsidRDefault="0067292E" w:rsidP="0067292E">
      <w:pPr>
        <w:numPr>
          <w:ilvl w:val="0"/>
          <w:numId w:val="3"/>
        </w:numPr>
      </w:pPr>
      <w:r w:rsidRPr="0067292E">
        <w:t>without being tied to individual children</w:t>
      </w:r>
    </w:p>
    <w:p w14:paraId="4414852E" w14:textId="30FE56BD" w:rsidR="0067292E" w:rsidRDefault="0067292E" w:rsidP="0067292E">
      <w:pPr>
        <w:numPr>
          <w:ilvl w:val="0"/>
          <w:numId w:val="3"/>
        </w:numPr>
      </w:pPr>
      <w:r w:rsidRPr="0067292E">
        <w:t>in a clear and transparent manner, so that providers understand how allocations have been determined locally, especially when they differ from DfE’s suggested route</w:t>
      </w:r>
      <w:r>
        <w:t>.</w:t>
      </w:r>
    </w:p>
    <w:p w14:paraId="7AB01A7B" w14:textId="79E293CB" w:rsidR="0067292E" w:rsidRPr="0067292E" w:rsidRDefault="0067292E" w:rsidP="0067292E">
      <w:pPr>
        <w:rPr>
          <w:b/>
          <w:bCs/>
        </w:rPr>
      </w:pPr>
      <w:r w:rsidRPr="0067292E">
        <w:rPr>
          <w:b/>
          <w:bCs/>
        </w:rPr>
        <w:t>DfE suggested methodology:</w:t>
      </w:r>
    </w:p>
    <w:p w14:paraId="1031BE07" w14:textId="57D9F085" w:rsidR="0067292E" w:rsidRDefault="0067292E" w:rsidP="0067292E">
      <w:pPr>
        <w:pStyle w:val="ListParagraph"/>
        <w:numPr>
          <w:ilvl w:val="0"/>
          <w:numId w:val="4"/>
        </w:numPr>
      </w:pPr>
      <w:r w:rsidRPr="0067292E">
        <w:t xml:space="preserve">Local authorities should ensure providers receiving an allocation from the IEYF receive an amount that is substantial enough to effect meaningful change in inclusive practice at setting level. </w:t>
      </w:r>
      <w:r>
        <w:t>The gvt</w:t>
      </w:r>
      <w:r w:rsidRPr="0067292E">
        <w:t xml:space="preserve"> recommend this is in the region of £1,000 per setting. This is to ensure providers receiving the grant have a sufficient level of funding to develop mainstream inclusive practice. As such, local authorities are not required to fund all providers in their area and could apply a minimum funding threshold to achieve meaningful allocations.</w:t>
      </w:r>
    </w:p>
    <w:p w14:paraId="5EA9B6B5" w14:textId="5A48C3E9" w:rsidR="0067292E" w:rsidRDefault="0067292E" w:rsidP="0067292E">
      <w:pPr>
        <w:pStyle w:val="ListParagraph"/>
        <w:numPr>
          <w:ilvl w:val="0"/>
          <w:numId w:val="4"/>
        </w:numPr>
      </w:pPr>
      <w:r w:rsidRPr="0067292E">
        <w:t>Local authorities should ensure that providers not receiving an inclusive early years fund allocation in 2026 to 2027 are able to access support to adopt setting-wide inclusive practices. This should be a consideration when prioritising their existing SEND support including special education needs (SEN) inclusion funding, and other local authority support for providers. Local authorities should take proactive steps to make providers fully aware of the support on offer and how to access it. Providers will also benefit from the wider support offer being introduced through SEND reforms.</w:t>
      </w:r>
    </w:p>
    <w:p w14:paraId="38FC1F26" w14:textId="7F96363A" w:rsidR="0067292E" w:rsidRDefault="0067292E" w:rsidP="0067292E">
      <w:pPr>
        <w:pStyle w:val="ListParagraph"/>
        <w:numPr>
          <w:ilvl w:val="0"/>
          <w:numId w:val="4"/>
        </w:numPr>
      </w:pPr>
      <w:r w:rsidRPr="0067292E">
        <w:t>Distribute the total allocation to providers based on a base rate plus an additional needs factor, (for example, using the same criteria as is used in their local early years funding formula deprivation supplement), paid in respect of 3- and 4-year-old universal hours PTEs. Local authorities can determine their own weightings but may choose to replicate the national inclusive early years fund formula which is weighted 75% base rate and 25% additional needs factors.</w:t>
      </w:r>
    </w:p>
    <w:p w14:paraId="1F788A38" w14:textId="664FBABA" w:rsidR="00D57584" w:rsidRPr="004F0157" w:rsidRDefault="00D57584" w:rsidP="00D57584">
      <w:pPr>
        <w:pStyle w:val="ListParagraph"/>
        <w:numPr>
          <w:ilvl w:val="0"/>
          <w:numId w:val="4"/>
        </w:numPr>
        <w:shd w:val="clear" w:color="auto" w:fill="FFFFFF"/>
        <w:spacing w:after="300" w:line="240" w:lineRule="auto"/>
        <w:rPr>
          <w:rFonts w:eastAsia="Times New Roman" w:cs="Arial"/>
          <w:color w:val="0B0C0C"/>
          <w:kern w:val="0"/>
          <w:szCs w:val="22"/>
          <w:lang w:eastAsia="en-GB"/>
          <w14:ligatures w14:val="none"/>
        </w:rPr>
      </w:pPr>
      <w:r w:rsidRPr="004F0157">
        <w:rPr>
          <w:rFonts w:eastAsia="Times New Roman" w:cs="Arial"/>
          <w:color w:val="0B0C0C"/>
          <w:kern w:val="0"/>
          <w:szCs w:val="22"/>
          <w:lang w:eastAsia="en-GB"/>
          <w14:ligatures w14:val="none"/>
        </w:rPr>
        <w:t>Local authorities could implement a de minimis threshold by redistributing from allocations falling below the chosen threshold, to ensure all providers receiving the grant receive a meaningful amount. For example, if using the recommended £1,000 de minimis, local authorities may choose to do this by either:</w:t>
      </w:r>
    </w:p>
    <w:p w14:paraId="6E5B3AB7" w14:textId="719679A7" w:rsidR="00D57584" w:rsidRPr="004F0157" w:rsidRDefault="00D57584" w:rsidP="00D57584">
      <w:pPr>
        <w:numPr>
          <w:ilvl w:val="0"/>
          <w:numId w:val="5"/>
        </w:numPr>
        <w:shd w:val="clear" w:color="auto" w:fill="FFFFFF"/>
        <w:spacing w:after="150" w:line="240" w:lineRule="auto"/>
        <w:ind w:left="1020"/>
        <w:rPr>
          <w:rFonts w:eastAsia="Times New Roman" w:cs="Arial"/>
          <w:color w:val="0B0C0C"/>
          <w:kern w:val="0"/>
          <w:szCs w:val="22"/>
          <w:lang w:eastAsia="en-GB"/>
          <w14:ligatures w14:val="none"/>
        </w:rPr>
      </w:pPr>
      <w:r w:rsidRPr="004F0157">
        <w:rPr>
          <w:rFonts w:eastAsia="Times New Roman" w:cs="Arial"/>
          <w:color w:val="0B0C0C"/>
          <w:kern w:val="0"/>
          <w:szCs w:val="22"/>
          <w:lang w:eastAsia="en-GB"/>
          <w14:ligatures w14:val="none"/>
        </w:rPr>
        <w:t xml:space="preserve">excluding providers whose initial calculated allocation would fall below £1,000, and redistributing that funding across the remaining providers (Solihull </w:t>
      </w:r>
      <w:r w:rsidR="00A11A3C" w:rsidRPr="004F0157">
        <w:rPr>
          <w:rFonts w:eastAsia="Times New Roman" w:cs="Arial"/>
          <w:color w:val="0B0C0C"/>
          <w:kern w:val="0"/>
          <w:szCs w:val="22"/>
          <w:lang w:eastAsia="en-GB"/>
          <w14:ligatures w14:val="none"/>
        </w:rPr>
        <w:t>method</w:t>
      </w:r>
      <w:r w:rsidRPr="004F0157">
        <w:rPr>
          <w:rFonts w:eastAsia="Times New Roman" w:cs="Arial"/>
          <w:color w:val="0B0C0C"/>
          <w:kern w:val="0"/>
          <w:szCs w:val="22"/>
          <w:lang w:eastAsia="en-GB"/>
          <w14:ligatures w14:val="none"/>
        </w:rPr>
        <w:t xml:space="preserve"> 1)</w:t>
      </w:r>
    </w:p>
    <w:p w14:paraId="3CE87D69" w14:textId="575C9444" w:rsidR="00D57584" w:rsidRPr="004F0157" w:rsidRDefault="00D57584" w:rsidP="00D57584">
      <w:pPr>
        <w:numPr>
          <w:ilvl w:val="0"/>
          <w:numId w:val="5"/>
        </w:numPr>
        <w:shd w:val="clear" w:color="auto" w:fill="FFFFFF"/>
        <w:spacing w:after="150" w:line="240" w:lineRule="auto"/>
        <w:ind w:left="1020"/>
        <w:rPr>
          <w:rFonts w:eastAsia="Times New Roman" w:cs="Arial"/>
          <w:color w:val="0B0C0C"/>
          <w:kern w:val="0"/>
          <w:szCs w:val="22"/>
          <w:lang w:eastAsia="en-GB"/>
          <w14:ligatures w14:val="none"/>
        </w:rPr>
      </w:pPr>
      <w:r w:rsidRPr="004F0157">
        <w:rPr>
          <w:rFonts w:eastAsia="Times New Roman" w:cs="Arial"/>
          <w:color w:val="0B0C0C"/>
          <w:kern w:val="0"/>
          <w:szCs w:val="22"/>
          <w:lang w:eastAsia="en-GB"/>
          <w14:ligatures w14:val="none"/>
        </w:rPr>
        <w:t xml:space="preserve">iteratively redistributing from the lowest calculated allocations to ensure that all providers receiving the grant receive at least £1000 (Solihull </w:t>
      </w:r>
      <w:r w:rsidR="00A11A3C" w:rsidRPr="004F0157">
        <w:rPr>
          <w:rFonts w:eastAsia="Times New Roman" w:cs="Arial"/>
          <w:color w:val="0B0C0C"/>
          <w:kern w:val="0"/>
          <w:szCs w:val="22"/>
          <w:lang w:eastAsia="en-GB"/>
          <w14:ligatures w14:val="none"/>
        </w:rPr>
        <w:t>method</w:t>
      </w:r>
      <w:r w:rsidRPr="004F0157">
        <w:rPr>
          <w:rFonts w:eastAsia="Times New Roman" w:cs="Arial"/>
          <w:color w:val="0B0C0C"/>
          <w:kern w:val="0"/>
          <w:szCs w:val="22"/>
          <w:lang w:eastAsia="en-GB"/>
          <w14:ligatures w14:val="none"/>
        </w:rPr>
        <w:t xml:space="preserve"> 2).</w:t>
      </w:r>
    </w:p>
    <w:p w14:paraId="170BA8D9" w14:textId="45644BE3" w:rsidR="0067292E" w:rsidRDefault="00D57584" w:rsidP="0067292E">
      <w:pPr>
        <w:pStyle w:val="ListParagraph"/>
        <w:numPr>
          <w:ilvl w:val="0"/>
          <w:numId w:val="4"/>
        </w:numPr>
      </w:pPr>
      <w:r w:rsidRPr="00D57584">
        <w:t>We recommend using deprivation as a proxy for SEND need </w:t>
      </w:r>
    </w:p>
    <w:p w14:paraId="103C6449" w14:textId="35965B65" w:rsidR="00D57584" w:rsidRDefault="00D57584" w:rsidP="0067292E">
      <w:pPr>
        <w:pStyle w:val="ListParagraph"/>
        <w:numPr>
          <w:ilvl w:val="0"/>
          <w:numId w:val="4"/>
        </w:numPr>
      </w:pPr>
      <w:r w:rsidRPr="00D57584">
        <w:t>We also recommend allocating funding based on 3 and 4-year-old universal hours PTEs because, as a universal offer, this represents a full cohort of children and there is an increased likelihood of identifiable SEND needs emerging at this age. </w:t>
      </w:r>
    </w:p>
    <w:p w14:paraId="77152EF2" w14:textId="4EEDC567" w:rsidR="00EE221C" w:rsidRDefault="00EE221C" w:rsidP="0067292E">
      <w:pPr>
        <w:pStyle w:val="ListParagraph"/>
        <w:numPr>
          <w:ilvl w:val="0"/>
          <w:numId w:val="4"/>
        </w:numPr>
      </w:pPr>
      <w:r w:rsidRPr="00EE221C">
        <w:lastRenderedPageBreak/>
        <w:t>if local authorities wish to design their own formulaic approach to target SEND need in their area, they are permitted to do so, as long as this follows the principles and requirements set out in </w:t>
      </w:r>
      <w:hyperlink r:id="rId6" w:anchor="Allocation-and-payment-to-childcare-providers" w:history="1">
        <w:r w:rsidRPr="00EE221C">
          <w:rPr>
            <w:rStyle w:val="Hyperlink"/>
          </w:rPr>
          <w:t>Allocation and payment to childcare providers</w:t>
        </w:r>
      </w:hyperlink>
      <w:r w:rsidRPr="00EE221C">
        <w:t>.</w:t>
      </w:r>
    </w:p>
    <w:p w14:paraId="53650472" w14:textId="2BA98084" w:rsidR="00EE221C" w:rsidRPr="007869D7" w:rsidRDefault="00EE221C" w:rsidP="00EE221C">
      <w:pPr>
        <w:rPr>
          <w:b/>
          <w:bCs/>
        </w:rPr>
      </w:pPr>
      <w:r w:rsidRPr="007869D7">
        <w:rPr>
          <w:b/>
          <w:bCs/>
        </w:rPr>
        <w:t>Solihull Approach</w:t>
      </w:r>
    </w:p>
    <w:p w14:paraId="6A14722B" w14:textId="7AD49E20" w:rsidR="00EE221C" w:rsidRDefault="007869D7" w:rsidP="00EE221C">
      <w:r>
        <w:t xml:space="preserve">Solihull has decided not to seek to develop a local approach but to model the DfE suggested approaches. </w:t>
      </w:r>
    </w:p>
    <w:p w14:paraId="6AB3A677" w14:textId="2DFF337C" w:rsidR="007869D7" w:rsidRDefault="007869D7" w:rsidP="00EE221C">
      <w:r>
        <w:t xml:space="preserve">The table </w:t>
      </w:r>
      <w:r w:rsidR="004F0157">
        <w:t>attached</w:t>
      </w:r>
      <w:r>
        <w:t xml:space="preserve"> shows the effect of this modelling around </w:t>
      </w:r>
      <w:r w:rsidR="004F0157">
        <w:t>the 2 DfE</w:t>
      </w:r>
      <w:r>
        <w:t xml:space="preserve"> slightly different approaches. </w:t>
      </w:r>
    </w:p>
    <w:p w14:paraId="5D3F27A9" w14:textId="297A9CD6" w:rsidR="007869D7" w:rsidRDefault="00A11A3C" w:rsidP="00EE221C">
      <w:r>
        <w:t>Method</w:t>
      </w:r>
      <w:r w:rsidR="007869D7">
        <w:t xml:space="preserve"> 1 – this models the DfE approach of calculating an amount for each setting, putting to £0 those less than £1,000 and allocating those amounts to settings greater than £1,000. </w:t>
      </w:r>
    </w:p>
    <w:p w14:paraId="3681107B" w14:textId="38902D44" w:rsidR="007869D7" w:rsidRDefault="00A11A3C" w:rsidP="00EE221C">
      <w:r>
        <w:t>Method</w:t>
      </w:r>
      <w:r w:rsidR="007869D7">
        <w:t xml:space="preserve"> 2 – models the DfE approach of iterating allocations until settings less than £1,000 are eliminated. The difference to option 1 is the iteration will bring into funding providers very close to £1,000 threshold in further allocations. Compared to option 1 this brings a further 7 settings into receiving grant funding</w:t>
      </w:r>
      <w:r w:rsidR="00B030F3">
        <w:t xml:space="preserve">, and settings that received grant in option 1 receive 96% of the option 1 grant. </w:t>
      </w:r>
    </w:p>
    <w:p w14:paraId="181B3C26" w14:textId="332EE291" w:rsidR="00576924" w:rsidRPr="00A11A3C" w:rsidRDefault="00576924" w:rsidP="00EE221C">
      <w:pPr>
        <w:rPr>
          <w:b/>
          <w:bCs/>
        </w:rPr>
      </w:pPr>
      <w:r w:rsidRPr="00A11A3C">
        <w:rPr>
          <w:b/>
          <w:bCs/>
        </w:rPr>
        <w:t>Recommended approach</w:t>
      </w:r>
    </w:p>
    <w:p w14:paraId="046E62D3" w14:textId="3FD70EEA" w:rsidR="00576924" w:rsidRDefault="00576924" w:rsidP="00EE221C">
      <w:r>
        <w:t>The local authority do</w:t>
      </w:r>
      <w:r w:rsidR="00A11A3C">
        <w:t>es</w:t>
      </w:r>
      <w:r>
        <w:t xml:space="preserve"> not wish to implement </w:t>
      </w:r>
      <w:r w:rsidR="00A11A3C">
        <w:t xml:space="preserve">method </w:t>
      </w:r>
      <w:r>
        <w:t xml:space="preserve">1, it is a poor methodology as it needlessly eliminates settings that qualify using </w:t>
      </w:r>
      <w:r w:rsidR="00A11A3C">
        <w:t>method</w:t>
      </w:r>
      <w:r>
        <w:t xml:space="preserve"> 2. </w:t>
      </w:r>
    </w:p>
    <w:p w14:paraId="0DA3AAC5" w14:textId="170C86EF" w:rsidR="00576924" w:rsidRDefault="00265307" w:rsidP="00EE221C">
      <w:r>
        <w:t xml:space="preserve">Solihull recommends that </w:t>
      </w:r>
      <w:r w:rsidR="00A11A3C">
        <w:t>method</w:t>
      </w:r>
      <w:r>
        <w:t xml:space="preserve"> 2 as the preferred option as on balance it most closely matches the governments recommended approach</w:t>
      </w:r>
      <w:r w:rsidR="002514F8">
        <w:t xml:space="preserve"> whilst maximising the number of providers receiving grant directly. </w:t>
      </w:r>
      <w:r>
        <w:t xml:space="preserve"> </w:t>
      </w:r>
      <w:r w:rsidR="00576924">
        <w:t xml:space="preserve"> </w:t>
      </w:r>
    </w:p>
    <w:p w14:paraId="087B4A3D" w14:textId="77777777" w:rsidR="00576924" w:rsidRDefault="00576924" w:rsidP="00EE221C"/>
    <w:p w14:paraId="7575FE88" w14:textId="0DC504B0" w:rsidR="007869D7" w:rsidRDefault="00A11A3C" w:rsidP="00EE221C">
      <w:r>
        <w:t>Steve Fenton</w:t>
      </w:r>
    </w:p>
    <w:p w14:paraId="056E578E" w14:textId="2812CB23" w:rsidR="00A11A3C" w:rsidRDefault="00A11A3C" w:rsidP="00EE221C">
      <w:r>
        <w:t>Accountant</w:t>
      </w:r>
      <w:r w:rsidR="009F4AFF">
        <w:t xml:space="preserve"> – Childrens Services</w:t>
      </w:r>
    </w:p>
    <w:p w14:paraId="1114D578" w14:textId="1781F582" w:rsidR="00A11A3C" w:rsidRDefault="00A11A3C" w:rsidP="00EE221C">
      <w:r>
        <w:t>May 2026</w:t>
      </w:r>
    </w:p>
    <w:p w14:paraId="72627259" w14:textId="77777777" w:rsidR="00A11A3C" w:rsidRDefault="00A11A3C" w:rsidP="00EE221C"/>
    <w:p w14:paraId="6614AEB9" w14:textId="77777777" w:rsidR="00A11A3C" w:rsidRDefault="00A11A3C" w:rsidP="00EE221C"/>
    <w:p w14:paraId="39D574CC" w14:textId="77777777" w:rsidR="00EE221C" w:rsidRPr="0067292E" w:rsidRDefault="00EE221C" w:rsidP="00EE221C"/>
    <w:p w14:paraId="3632B550" w14:textId="729BCCA4" w:rsidR="0067292E" w:rsidRDefault="0067292E" w:rsidP="005475E9"/>
    <w:p w14:paraId="48083A87" w14:textId="77777777" w:rsidR="005475E9" w:rsidRPr="005475E9" w:rsidRDefault="005475E9" w:rsidP="005475E9"/>
    <w:p w14:paraId="78E2EDB9" w14:textId="77777777" w:rsidR="005475E9" w:rsidRDefault="005475E9"/>
    <w:sectPr w:rsidR="005475E9" w:rsidSect="005475E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95C"/>
    <w:multiLevelType w:val="multilevel"/>
    <w:tmpl w:val="58D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262179"/>
    <w:multiLevelType w:val="hybridMultilevel"/>
    <w:tmpl w:val="F73C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46CE4"/>
    <w:multiLevelType w:val="multilevel"/>
    <w:tmpl w:val="77F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FE7521"/>
    <w:multiLevelType w:val="multilevel"/>
    <w:tmpl w:val="817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481BBB"/>
    <w:multiLevelType w:val="hybridMultilevel"/>
    <w:tmpl w:val="BAD89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3247828">
    <w:abstractNumId w:val="0"/>
  </w:num>
  <w:num w:numId="2" w16cid:durableId="1734424847">
    <w:abstractNumId w:val="1"/>
  </w:num>
  <w:num w:numId="3" w16cid:durableId="1623151899">
    <w:abstractNumId w:val="3"/>
  </w:num>
  <w:num w:numId="4" w16cid:durableId="1956330605">
    <w:abstractNumId w:val="4"/>
  </w:num>
  <w:num w:numId="5" w16cid:durableId="152740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E9"/>
    <w:rsid w:val="000C1F57"/>
    <w:rsid w:val="002514F8"/>
    <w:rsid w:val="00265307"/>
    <w:rsid w:val="002E4CF4"/>
    <w:rsid w:val="002F1331"/>
    <w:rsid w:val="004737EA"/>
    <w:rsid w:val="004920E8"/>
    <w:rsid w:val="004F0157"/>
    <w:rsid w:val="005475E9"/>
    <w:rsid w:val="00576924"/>
    <w:rsid w:val="005A3CEC"/>
    <w:rsid w:val="0067292E"/>
    <w:rsid w:val="007869D7"/>
    <w:rsid w:val="009F4AFF"/>
    <w:rsid w:val="00A11A3C"/>
    <w:rsid w:val="00B030F3"/>
    <w:rsid w:val="00D57584"/>
    <w:rsid w:val="00E61969"/>
    <w:rsid w:val="00EE221C"/>
    <w:rsid w:val="00F75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5FA7"/>
  <w15:chartTrackingRefBased/>
  <w15:docId w15:val="{0AE561D5-4E25-4D27-9C5B-09D4D4BD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5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5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75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75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75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75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75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5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5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75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75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75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75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75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7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5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5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75E9"/>
    <w:pPr>
      <w:spacing w:before="160"/>
      <w:jc w:val="center"/>
    </w:pPr>
    <w:rPr>
      <w:i/>
      <w:iCs/>
      <w:color w:val="404040" w:themeColor="text1" w:themeTint="BF"/>
    </w:rPr>
  </w:style>
  <w:style w:type="character" w:customStyle="1" w:styleId="QuoteChar">
    <w:name w:val="Quote Char"/>
    <w:basedOn w:val="DefaultParagraphFont"/>
    <w:link w:val="Quote"/>
    <w:uiPriority w:val="29"/>
    <w:rsid w:val="005475E9"/>
    <w:rPr>
      <w:i/>
      <w:iCs/>
      <w:color w:val="404040" w:themeColor="text1" w:themeTint="BF"/>
    </w:rPr>
  </w:style>
  <w:style w:type="paragraph" w:styleId="ListParagraph">
    <w:name w:val="List Paragraph"/>
    <w:basedOn w:val="Normal"/>
    <w:uiPriority w:val="34"/>
    <w:qFormat/>
    <w:rsid w:val="005475E9"/>
    <w:pPr>
      <w:ind w:left="720"/>
      <w:contextualSpacing/>
    </w:pPr>
  </w:style>
  <w:style w:type="character" w:styleId="IntenseEmphasis">
    <w:name w:val="Intense Emphasis"/>
    <w:basedOn w:val="DefaultParagraphFont"/>
    <w:uiPriority w:val="21"/>
    <w:qFormat/>
    <w:rsid w:val="005475E9"/>
    <w:rPr>
      <w:i/>
      <w:iCs/>
      <w:color w:val="0F4761" w:themeColor="accent1" w:themeShade="BF"/>
    </w:rPr>
  </w:style>
  <w:style w:type="paragraph" w:styleId="IntenseQuote">
    <w:name w:val="Intense Quote"/>
    <w:basedOn w:val="Normal"/>
    <w:next w:val="Normal"/>
    <w:link w:val="IntenseQuoteChar"/>
    <w:uiPriority w:val="30"/>
    <w:qFormat/>
    <w:rsid w:val="00547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5E9"/>
    <w:rPr>
      <w:i/>
      <w:iCs/>
      <w:color w:val="0F4761" w:themeColor="accent1" w:themeShade="BF"/>
    </w:rPr>
  </w:style>
  <w:style w:type="character" w:styleId="IntenseReference">
    <w:name w:val="Intense Reference"/>
    <w:basedOn w:val="DefaultParagraphFont"/>
    <w:uiPriority w:val="32"/>
    <w:qFormat/>
    <w:rsid w:val="005475E9"/>
    <w:rPr>
      <w:b/>
      <w:bCs/>
      <w:smallCaps/>
      <w:color w:val="0F4761" w:themeColor="accent1" w:themeShade="BF"/>
      <w:spacing w:val="5"/>
    </w:rPr>
  </w:style>
  <w:style w:type="character" w:styleId="Hyperlink">
    <w:name w:val="Hyperlink"/>
    <w:basedOn w:val="DefaultParagraphFont"/>
    <w:uiPriority w:val="99"/>
    <w:unhideWhenUsed/>
    <w:rsid w:val="005475E9"/>
    <w:rPr>
      <w:color w:val="467886" w:themeColor="hyperlink"/>
      <w:u w:val="single"/>
    </w:rPr>
  </w:style>
  <w:style w:type="character" w:styleId="UnresolvedMention">
    <w:name w:val="Unresolved Mention"/>
    <w:basedOn w:val="DefaultParagraphFont"/>
    <w:uiPriority w:val="99"/>
    <w:semiHidden/>
    <w:unhideWhenUsed/>
    <w:rsid w:val="005475E9"/>
    <w:rPr>
      <w:color w:val="605E5C"/>
      <w:shd w:val="clear" w:color="auto" w:fill="E1DFDD"/>
    </w:rPr>
  </w:style>
  <w:style w:type="paragraph" w:styleId="NormalWeb">
    <w:name w:val="Normal (Web)"/>
    <w:basedOn w:val="Normal"/>
    <w:uiPriority w:val="99"/>
    <w:semiHidden/>
    <w:unhideWhenUsed/>
    <w:rsid w:val="00D57584"/>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inclusive-early-years-fund-2026-to-2027/inclusive-early-years-fund-for-2026-to-2027-conditions-of-grant-and-operational-guidance-for-local-authorities" TargetMode="External"/><Relationship Id="rId5" Type="http://schemas.openxmlformats.org/officeDocument/2006/relationships/hyperlink" Target="https://www.gov.uk/government/publications/inclusive-mainstream-fund-2026-to-20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Fenton (Solihull MBC)</dc:creator>
  <cp:keywords/>
  <dc:description/>
  <cp:lastModifiedBy>Lisa Morris (Solihull MBC)</cp:lastModifiedBy>
  <cp:revision>2</cp:revision>
  <dcterms:created xsi:type="dcterms:W3CDTF">2026-05-15T09:07:00Z</dcterms:created>
  <dcterms:modified xsi:type="dcterms:W3CDTF">2026-05-15T09:07:00Z</dcterms:modified>
</cp:coreProperties>
</file>