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99764" w14:textId="77777777" w:rsidR="00B55475" w:rsidRPr="00911A3C" w:rsidRDefault="00AB2B8B">
      <w:pPr>
        <w:rPr>
          <w:b/>
        </w:rPr>
      </w:pPr>
      <w:r w:rsidRPr="00911A3C">
        <w:rPr>
          <w:b/>
        </w:rPr>
        <w:t>Consi</w:t>
      </w:r>
      <w:bookmarkStart w:id="0" w:name="_GoBack"/>
      <w:bookmarkEnd w:id="0"/>
      <w:r w:rsidRPr="00911A3C">
        <w:rPr>
          <w:b/>
        </w:rPr>
        <w:t>derations for local lockdown</w:t>
      </w:r>
      <w:r w:rsidR="002C569B">
        <w:rPr>
          <w:b/>
        </w:rPr>
        <w:t xml:space="preserve"> </w:t>
      </w:r>
      <w:r w:rsidR="003C351A">
        <w:rPr>
          <w:b/>
        </w:rPr>
        <w:t>and when partial closure/ full closure is necessary due to Cv19 infection.</w:t>
      </w:r>
    </w:p>
    <w:p w14:paraId="5A11C998" w14:textId="77777777" w:rsidR="00463218" w:rsidRPr="00911A3C" w:rsidRDefault="00463218">
      <w:pPr>
        <w:rPr>
          <w:i/>
        </w:rPr>
      </w:pPr>
      <w:r w:rsidRPr="00911A3C">
        <w:rPr>
          <w:i/>
        </w:rPr>
        <w:t xml:space="preserve">This a starting point, rather than an exhaustive list, to assist in the decision-making should an immediate response be needed. </w:t>
      </w:r>
    </w:p>
    <w:p w14:paraId="776FA634" w14:textId="77777777" w:rsidR="00C64B37" w:rsidRDefault="00B16AB8">
      <w:pPr>
        <w:rPr>
          <w:i/>
        </w:rPr>
      </w:pPr>
      <w:hyperlink r:id="rId8" w:history="1">
        <w:r w:rsidR="00C64B37" w:rsidRPr="00911A3C">
          <w:rPr>
            <w:rStyle w:val="Hyperlink"/>
            <w:i/>
          </w:rPr>
          <w:t>https://www.gov.uk/government/publications/local-lockdowns-guidance-for-education-and-childcare-settings/guidance-for-educational-and-childcare-settings-in-leicester-and-the-affected-parts-of-leicestershire</w:t>
        </w:r>
      </w:hyperlink>
      <w:r w:rsidR="00C64B37" w:rsidRPr="00911A3C">
        <w:rPr>
          <w:i/>
        </w:rPr>
        <w:t xml:space="preserve"> </w:t>
      </w:r>
    </w:p>
    <w:p w14:paraId="11481EDE" w14:textId="77777777" w:rsidR="00BD2B58" w:rsidRPr="00911A3C" w:rsidRDefault="00BD2B58">
      <w:pPr>
        <w:rPr>
          <w:i/>
        </w:rPr>
      </w:pPr>
    </w:p>
    <w:tbl>
      <w:tblPr>
        <w:tblStyle w:val="TableGrid"/>
        <w:tblW w:w="10485" w:type="dxa"/>
        <w:tblLook w:val="04A0" w:firstRow="1" w:lastRow="0" w:firstColumn="1" w:lastColumn="0" w:noHBand="0" w:noVBand="1"/>
      </w:tblPr>
      <w:tblGrid>
        <w:gridCol w:w="4957"/>
        <w:gridCol w:w="1053"/>
        <w:gridCol w:w="4475"/>
      </w:tblGrid>
      <w:tr w:rsidR="00463218" w:rsidRPr="00911A3C" w14:paraId="2BAA3AC8" w14:textId="77777777" w:rsidTr="00BD2B58">
        <w:tc>
          <w:tcPr>
            <w:tcW w:w="4957" w:type="dxa"/>
          </w:tcPr>
          <w:p w14:paraId="16D4D56F" w14:textId="77777777" w:rsidR="00463218" w:rsidRPr="00911A3C" w:rsidRDefault="00463218">
            <w:pPr>
              <w:rPr>
                <w:b/>
              </w:rPr>
            </w:pPr>
            <w:r w:rsidRPr="00911A3C">
              <w:rPr>
                <w:b/>
              </w:rPr>
              <w:t xml:space="preserve">Action </w:t>
            </w:r>
          </w:p>
        </w:tc>
        <w:tc>
          <w:tcPr>
            <w:tcW w:w="1053" w:type="dxa"/>
          </w:tcPr>
          <w:p w14:paraId="7E0CD24C" w14:textId="77777777" w:rsidR="00463218" w:rsidRPr="00911A3C" w:rsidRDefault="00463218">
            <w:pPr>
              <w:rPr>
                <w:b/>
              </w:rPr>
            </w:pPr>
            <w:r w:rsidRPr="00911A3C">
              <w:rPr>
                <w:b/>
              </w:rPr>
              <w:t>Who</w:t>
            </w:r>
            <w:r w:rsidR="00911A3C" w:rsidRPr="00911A3C">
              <w:rPr>
                <w:b/>
              </w:rPr>
              <w:t xml:space="preserve">? </w:t>
            </w:r>
            <w:r w:rsidRPr="00911A3C">
              <w:rPr>
                <w:b/>
              </w:rPr>
              <w:t xml:space="preserve"> </w:t>
            </w:r>
          </w:p>
        </w:tc>
        <w:tc>
          <w:tcPr>
            <w:tcW w:w="4475" w:type="dxa"/>
          </w:tcPr>
          <w:p w14:paraId="4CEC98AE" w14:textId="77777777" w:rsidR="00463218" w:rsidRPr="00911A3C" w:rsidRDefault="00463218">
            <w:pPr>
              <w:rPr>
                <w:b/>
              </w:rPr>
            </w:pPr>
            <w:r w:rsidRPr="00911A3C">
              <w:rPr>
                <w:b/>
              </w:rPr>
              <w:t xml:space="preserve">Notes </w:t>
            </w:r>
          </w:p>
        </w:tc>
      </w:tr>
      <w:tr w:rsidR="003C351A" w:rsidRPr="00911A3C" w14:paraId="1D78C253" w14:textId="77777777" w:rsidTr="00BD2B58">
        <w:tc>
          <w:tcPr>
            <w:tcW w:w="4957" w:type="dxa"/>
          </w:tcPr>
          <w:p w14:paraId="3C9DCFE4" w14:textId="77777777" w:rsidR="003C351A" w:rsidRPr="00EA06BF" w:rsidRDefault="003C351A" w:rsidP="00C64B37">
            <w:pPr>
              <w:rPr>
                <w:lang w:val="en"/>
              </w:rPr>
            </w:pPr>
            <w:r>
              <w:rPr>
                <w:lang w:val="en"/>
              </w:rPr>
              <w:t xml:space="preserve">Look at the letters on </w:t>
            </w:r>
            <w:proofErr w:type="spellStart"/>
            <w:r>
              <w:rPr>
                <w:lang w:val="en"/>
              </w:rPr>
              <w:t>Solgrid</w:t>
            </w:r>
            <w:proofErr w:type="spellEnd"/>
            <w:r>
              <w:rPr>
                <w:lang w:val="en"/>
              </w:rPr>
              <w:t xml:space="preserve"> to modify a letter for staff and parents of the need to shut down a group/ the setting. You will need to review the position on a weekly/ two weekly basis and communicate updates.</w:t>
            </w:r>
            <w:r w:rsidR="00EA06BF">
              <w:rPr>
                <w:lang w:val="en"/>
              </w:rPr>
              <w:t xml:space="preserve"> You may want to look at your contacts to refresh them when appropriate for this time. </w:t>
            </w:r>
          </w:p>
        </w:tc>
        <w:tc>
          <w:tcPr>
            <w:tcW w:w="1053" w:type="dxa"/>
          </w:tcPr>
          <w:p w14:paraId="0D3D3160" w14:textId="77777777" w:rsidR="003C351A" w:rsidRPr="00911A3C" w:rsidRDefault="003C351A" w:rsidP="00C64B37"/>
        </w:tc>
        <w:tc>
          <w:tcPr>
            <w:tcW w:w="4475" w:type="dxa"/>
          </w:tcPr>
          <w:p w14:paraId="7F9BF7A7" w14:textId="77777777" w:rsidR="003C351A" w:rsidRPr="00911A3C" w:rsidRDefault="003C351A" w:rsidP="00C64B37"/>
        </w:tc>
      </w:tr>
      <w:tr w:rsidR="00EA06BF" w:rsidRPr="00911A3C" w14:paraId="045CAB2D" w14:textId="77777777" w:rsidTr="00BD2B58">
        <w:tc>
          <w:tcPr>
            <w:tcW w:w="4957" w:type="dxa"/>
          </w:tcPr>
          <w:p w14:paraId="3CC398FC" w14:textId="77777777" w:rsidR="00EA06BF" w:rsidRDefault="00EA06BF" w:rsidP="00C64B37">
            <w:pPr>
              <w:rPr>
                <w:lang w:val="en"/>
              </w:rPr>
            </w:pPr>
            <w:r>
              <w:rPr>
                <w:lang w:val="en"/>
              </w:rPr>
              <w:t xml:space="preserve">Review building safety and security if locking up the building or parts of the building – access, water and gas supplies, what can be turned off? Contact for parents/ LA during the lockdown </w:t>
            </w:r>
          </w:p>
        </w:tc>
        <w:tc>
          <w:tcPr>
            <w:tcW w:w="1053" w:type="dxa"/>
          </w:tcPr>
          <w:p w14:paraId="36D0C32E" w14:textId="77777777" w:rsidR="00EA06BF" w:rsidRPr="00911A3C" w:rsidRDefault="00EA06BF" w:rsidP="00C64B37"/>
        </w:tc>
        <w:tc>
          <w:tcPr>
            <w:tcW w:w="4475" w:type="dxa"/>
          </w:tcPr>
          <w:p w14:paraId="01DC8811" w14:textId="77777777" w:rsidR="00EA06BF" w:rsidRPr="00911A3C" w:rsidRDefault="00EA06BF" w:rsidP="00C64B37"/>
        </w:tc>
      </w:tr>
      <w:tr w:rsidR="00C64B37" w:rsidRPr="00911A3C" w14:paraId="4BCCFC0B" w14:textId="77777777" w:rsidTr="00BD2B58">
        <w:tc>
          <w:tcPr>
            <w:tcW w:w="4957" w:type="dxa"/>
          </w:tcPr>
          <w:p w14:paraId="721F9D43" w14:textId="77777777" w:rsidR="009141E7" w:rsidRPr="009141E7" w:rsidRDefault="009141E7" w:rsidP="00C64B37">
            <w:pPr>
              <w:rPr>
                <w:i/>
                <w:lang w:val="en"/>
              </w:rPr>
            </w:pPr>
            <w:r w:rsidRPr="009141E7">
              <w:rPr>
                <w:i/>
                <w:lang w:val="en"/>
              </w:rPr>
              <w:t>Setting to return to</w:t>
            </w:r>
            <w:r>
              <w:rPr>
                <w:i/>
                <w:lang w:val="en"/>
              </w:rPr>
              <w:t xml:space="preserve"> only</w:t>
            </w:r>
            <w:r w:rsidRPr="009141E7">
              <w:rPr>
                <w:i/>
                <w:lang w:val="en"/>
              </w:rPr>
              <w:t xml:space="preserve"> </w:t>
            </w:r>
            <w:r>
              <w:rPr>
                <w:i/>
                <w:lang w:val="en"/>
              </w:rPr>
              <w:t>opening for priority groups</w:t>
            </w:r>
            <w:r w:rsidR="00EA06BF">
              <w:rPr>
                <w:i/>
                <w:lang w:val="en"/>
              </w:rPr>
              <w:t xml:space="preserve"> during local lockdown or as advised by Public Health England</w:t>
            </w:r>
            <w:r w:rsidRPr="009141E7">
              <w:rPr>
                <w:i/>
                <w:lang w:val="en"/>
              </w:rPr>
              <w:t>:</w:t>
            </w:r>
          </w:p>
          <w:p w14:paraId="41E101DA" w14:textId="77777777" w:rsidR="00911A3C" w:rsidRPr="00911A3C" w:rsidRDefault="00B16AB8" w:rsidP="00C64B37">
            <w:pPr>
              <w:rPr>
                <w:lang w:val="en"/>
              </w:rPr>
            </w:pPr>
            <w:hyperlink r:id="rId9" w:history="1">
              <w:r w:rsidR="00911A3C" w:rsidRPr="00911A3C">
                <w:rPr>
                  <w:rStyle w:val="Hyperlink"/>
                  <w:lang w:val="en"/>
                </w:rPr>
                <w:t>Critical worker list</w:t>
              </w:r>
            </w:hyperlink>
            <w:r w:rsidR="00911A3C" w:rsidRPr="00911A3C">
              <w:rPr>
                <w:lang w:val="en"/>
              </w:rPr>
              <w:t xml:space="preserve"> </w:t>
            </w:r>
          </w:p>
          <w:p w14:paraId="7010CFC0" w14:textId="77777777" w:rsidR="00C64B37" w:rsidRPr="00911A3C" w:rsidRDefault="00911A3C" w:rsidP="00C64B37">
            <w:r w:rsidRPr="00911A3C">
              <w:rPr>
                <w:lang w:val="en"/>
              </w:rPr>
              <w:t>Identify</w:t>
            </w:r>
            <w:r w:rsidR="00C64B37" w:rsidRPr="00911A3C">
              <w:rPr>
                <w:lang w:val="en"/>
              </w:rPr>
              <w:t xml:space="preserve"> priority groups- children and young people who are vulnerable, and the children of critical workers who absolutely need to attend</w:t>
            </w:r>
            <w:r w:rsidR="00BD2B58">
              <w:rPr>
                <w:lang w:val="en"/>
              </w:rPr>
              <w:t>.</w:t>
            </w:r>
          </w:p>
        </w:tc>
        <w:tc>
          <w:tcPr>
            <w:tcW w:w="1053" w:type="dxa"/>
          </w:tcPr>
          <w:p w14:paraId="4FFEE47F" w14:textId="77777777" w:rsidR="00C64B37" w:rsidRPr="00911A3C" w:rsidRDefault="00C64B37" w:rsidP="00C64B37"/>
        </w:tc>
        <w:tc>
          <w:tcPr>
            <w:tcW w:w="4475" w:type="dxa"/>
          </w:tcPr>
          <w:p w14:paraId="0090BDC6" w14:textId="77777777" w:rsidR="00C64B37" w:rsidRPr="00911A3C" w:rsidRDefault="00C64B37" w:rsidP="00C64B37"/>
        </w:tc>
      </w:tr>
      <w:tr w:rsidR="003C351A" w:rsidRPr="00911A3C" w14:paraId="24847CFE" w14:textId="77777777" w:rsidTr="00BD2B58">
        <w:tc>
          <w:tcPr>
            <w:tcW w:w="4957" w:type="dxa"/>
          </w:tcPr>
          <w:p w14:paraId="11EE04CC" w14:textId="77777777" w:rsidR="003C351A" w:rsidRPr="00EA06BF" w:rsidRDefault="003C351A" w:rsidP="00C64B37">
            <w:pPr>
              <w:rPr>
                <w:lang w:val="en"/>
              </w:rPr>
            </w:pPr>
            <w:r w:rsidRPr="00EA06BF">
              <w:rPr>
                <w:lang w:val="en"/>
              </w:rPr>
              <w:t xml:space="preserve">Look at </w:t>
            </w:r>
            <w:r>
              <w:rPr>
                <w:lang w:val="en"/>
              </w:rPr>
              <w:t>numbers of children to see if you need to re-establish smaller bubbles again. If fewer children and adults are in contact then fewer may need to be closed.</w:t>
            </w:r>
          </w:p>
        </w:tc>
        <w:tc>
          <w:tcPr>
            <w:tcW w:w="1053" w:type="dxa"/>
          </w:tcPr>
          <w:p w14:paraId="733ABA08" w14:textId="77777777" w:rsidR="003C351A" w:rsidRPr="00911A3C" w:rsidRDefault="003C351A" w:rsidP="00C64B37"/>
        </w:tc>
        <w:tc>
          <w:tcPr>
            <w:tcW w:w="4475" w:type="dxa"/>
          </w:tcPr>
          <w:p w14:paraId="2EFFC064" w14:textId="77777777" w:rsidR="003C351A" w:rsidRPr="00911A3C" w:rsidRDefault="003C351A" w:rsidP="00C64B37"/>
        </w:tc>
      </w:tr>
      <w:tr w:rsidR="00911A3C" w:rsidRPr="00911A3C" w14:paraId="0064BE41" w14:textId="77777777" w:rsidTr="00BD2B58">
        <w:tc>
          <w:tcPr>
            <w:tcW w:w="4957" w:type="dxa"/>
          </w:tcPr>
          <w:p w14:paraId="09BBECC0" w14:textId="77777777" w:rsidR="00911A3C" w:rsidRPr="00911A3C" w:rsidRDefault="00911A3C" w:rsidP="00911A3C">
            <w:r w:rsidRPr="00911A3C">
              <w:t xml:space="preserve">Update staff members-identify capacity to support children in priority groups. </w:t>
            </w:r>
            <w:r w:rsidR="00BE31FC">
              <w:t>How can a level of continuity be maintained for these children?</w:t>
            </w:r>
            <w:r w:rsidR="003C351A">
              <w:t xml:space="preserve"> </w:t>
            </w:r>
          </w:p>
          <w:p w14:paraId="09763860" w14:textId="77777777" w:rsidR="00911A3C" w:rsidRPr="00911A3C" w:rsidRDefault="009141E7" w:rsidP="00911A3C">
            <w:r>
              <w:t>Agree initial rotas</w:t>
            </w:r>
            <w:r w:rsidR="003C351A">
              <w:t xml:space="preserve">- note staff who are clinically vulnerable/ extremely vulnerable and may need to shield </w:t>
            </w:r>
            <w:r>
              <w:t>.</w:t>
            </w:r>
            <w:r w:rsidR="003C351A">
              <w:t xml:space="preserve"> Ensure key duties are covered –P1st Aid/ DSL</w:t>
            </w:r>
          </w:p>
        </w:tc>
        <w:tc>
          <w:tcPr>
            <w:tcW w:w="1053" w:type="dxa"/>
          </w:tcPr>
          <w:p w14:paraId="175D7E50" w14:textId="77777777" w:rsidR="00911A3C" w:rsidRPr="00911A3C" w:rsidRDefault="00911A3C" w:rsidP="00911A3C"/>
        </w:tc>
        <w:tc>
          <w:tcPr>
            <w:tcW w:w="4475" w:type="dxa"/>
          </w:tcPr>
          <w:p w14:paraId="78C388D1" w14:textId="77777777" w:rsidR="00911A3C" w:rsidRPr="00911A3C" w:rsidRDefault="00911A3C" w:rsidP="00911A3C"/>
        </w:tc>
      </w:tr>
      <w:tr w:rsidR="008D0950" w:rsidRPr="00911A3C" w14:paraId="5B625782" w14:textId="77777777" w:rsidTr="00BD2B58">
        <w:tc>
          <w:tcPr>
            <w:tcW w:w="4957" w:type="dxa"/>
          </w:tcPr>
          <w:p w14:paraId="33E36EB3" w14:textId="77777777" w:rsidR="008D0950" w:rsidRPr="00911A3C" w:rsidRDefault="008D0950" w:rsidP="00911A3C">
            <w:r>
              <w:t xml:space="preserve">Consider activities that staff working from home can complete – see </w:t>
            </w:r>
            <w:proofErr w:type="spellStart"/>
            <w:r>
              <w:t>Solgrid</w:t>
            </w:r>
            <w:proofErr w:type="spellEnd"/>
            <w:r>
              <w:t>/</w:t>
            </w:r>
            <w:proofErr w:type="spellStart"/>
            <w:r>
              <w:t>eyc</w:t>
            </w:r>
            <w:proofErr w:type="spellEnd"/>
            <w:r>
              <w:t xml:space="preserve"> training suggestions</w:t>
            </w:r>
          </w:p>
        </w:tc>
        <w:tc>
          <w:tcPr>
            <w:tcW w:w="1053" w:type="dxa"/>
          </w:tcPr>
          <w:p w14:paraId="371A8D84" w14:textId="77777777" w:rsidR="008D0950" w:rsidRPr="00911A3C" w:rsidRDefault="008D0950" w:rsidP="00911A3C"/>
        </w:tc>
        <w:tc>
          <w:tcPr>
            <w:tcW w:w="4475" w:type="dxa"/>
          </w:tcPr>
          <w:p w14:paraId="10B3C391" w14:textId="77777777" w:rsidR="008D0950" w:rsidRPr="00911A3C" w:rsidRDefault="008D0950" w:rsidP="00911A3C"/>
        </w:tc>
      </w:tr>
      <w:tr w:rsidR="00EA06BF" w:rsidRPr="00911A3C" w14:paraId="7DAF91F0" w14:textId="77777777" w:rsidTr="00BD2B58">
        <w:tc>
          <w:tcPr>
            <w:tcW w:w="4957" w:type="dxa"/>
          </w:tcPr>
          <w:p w14:paraId="66C3FB27" w14:textId="77777777" w:rsidR="00EA06BF" w:rsidRPr="00911A3C" w:rsidRDefault="00EA06BF" w:rsidP="00911A3C">
            <w:r>
              <w:t>Ensure staff and parents understand the behaviour requirements – restricted social interaction and contact, use of public transport and risks of infection beyond the setting, drop off/ pick up procedures.</w:t>
            </w:r>
          </w:p>
        </w:tc>
        <w:tc>
          <w:tcPr>
            <w:tcW w:w="1053" w:type="dxa"/>
          </w:tcPr>
          <w:p w14:paraId="0786FAB6" w14:textId="77777777" w:rsidR="00EA06BF" w:rsidRPr="00911A3C" w:rsidRDefault="00EA06BF" w:rsidP="00911A3C"/>
        </w:tc>
        <w:tc>
          <w:tcPr>
            <w:tcW w:w="4475" w:type="dxa"/>
          </w:tcPr>
          <w:p w14:paraId="604CCF0A" w14:textId="77777777" w:rsidR="00EA06BF" w:rsidRPr="00911A3C" w:rsidRDefault="00EA06BF" w:rsidP="00911A3C"/>
        </w:tc>
      </w:tr>
      <w:tr w:rsidR="00EA06BF" w:rsidRPr="00911A3C" w14:paraId="53EE804F" w14:textId="77777777" w:rsidTr="00BD2B58">
        <w:tc>
          <w:tcPr>
            <w:tcW w:w="4957" w:type="dxa"/>
          </w:tcPr>
          <w:p w14:paraId="537EA630" w14:textId="77777777" w:rsidR="00EA06BF" w:rsidRPr="00911A3C" w:rsidRDefault="00EA06BF" w:rsidP="00911A3C">
            <w:r>
              <w:t>Look at your use of resources and activities to try and use outdoors more frequently and possibly restrict resource sharing –</w:t>
            </w:r>
            <w:proofErr w:type="spellStart"/>
            <w:r>
              <w:t>eg</w:t>
            </w:r>
            <w:proofErr w:type="spellEnd"/>
            <w:r>
              <w:t xml:space="preserve"> restrict sand/ dough use</w:t>
            </w:r>
          </w:p>
        </w:tc>
        <w:tc>
          <w:tcPr>
            <w:tcW w:w="1053" w:type="dxa"/>
          </w:tcPr>
          <w:p w14:paraId="3CBA5EF9" w14:textId="77777777" w:rsidR="00EA06BF" w:rsidRPr="00911A3C" w:rsidRDefault="00EA06BF" w:rsidP="00911A3C"/>
        </w:tc>
        <w:tc>
          <w:tcPr>
            <w:tcW w:w="4475" w:type="dxa"/>
          </w:tcPr>
          <w:p w14:paraId="54DA40A3" w14:textId="77777777" w:rsidR="00EA06BF" w:rsidRPr="00911A3C" w:rsidRDefault="00EA06BF" w:rsidP="00911A3C"/>
        </w:tc>
      </w:tr>
      <w:tr w:rsidR="00911A3C" w:rsidRPr="00911A3C" w14:paraId="10342948" w14:textId="77777777" w:rsidTr="00BD2B58">
        <w:tc>
          <w:tcPr>
            <w:tcW w:w="4957" w:type="dxa"/>
          </w:tcPr>
          <w:p w14:paraId="7FBD4165" w14:textId="77777777" w:rsidR="00911A3C" w:rsidRDefault="00911A3C" w:rsidP="00911A3C">
            <w:r w:rsidRPr="00911A3C">
              <w:t>Inform Family Information Service (FIS) as to whether the setting will remain open for priority groups</w:t>
            </w:r>
            <w:r w:rsidR="003C351A">
              <w:t xml:space="preserve"> and willingness to care for other priority groups whose settings are shut</w:t>
            </w:r>
            <w:r w:rsidRPr="00911A3C">
              <w:t xml:space="preserve">. </w:t>
            </w:r>
            <w:r w:rsidR="00EA06BF">
              <w:t xml:space="preserve"> Provide an out-of-setting contact. </w:t>
            </w:r>
          </w:p>
          <w:p w14:paraId="1A82B2B5" w14:textId="77777777" w:rsidR="00EA06BF" w:rsidRPr="00911A3C" w:rsidRDefault="00EA06BF" w:rsidP="00911A3C">
            <w:r>
              <w:t>Notify Ofsted of closure</w:t>
            </w:r>
          </w:p>
        </w:tc>
        <w:tc>
          <w:tcPr>
            <w:tcW w:w="1053" w:type="dxa"/>
          </w:tcPr>
          <w:p w14:paraId="230E9CB4" w14:textId="77777777" w:rsidR="00911A3C" w:rsidRPr="00911A3C" w:rsidRDefault="00911A3C" w:rsidP="00911A3C"/>
        </w:tc>
        <w:tc>
          <w:tcPr>
            <w:tcW w:w="4475" w:type="dxa"/>
          </w:tcPr>
          <w:p w14:paraId="029E5BCB" w14:textId="77777777" w:rsidR="00911A3C" w:rsidRPr="00911A3C" w:rsidRDefault="00911A3C" w:rsidP="00911A3C"/>
        </w:tc>
      </w:tr>
      <w:tr w:rsidR="00911A3C" w:rsidRPr="00911A3C" w14:paraId="5D818A32" w14:textId="77777777" w:rsidTr="00BD2B58">
        <w:tc>
          <w:tcPr>
            <w:tcW w:w="4957" w:type="dxa"/>
          </w:tcPr>
          <w:p w14:paraId="3C205AEB" w14:textId="77777777" w:rsidR="00911A3C" w:rsidRDefault="00911A3C" w:rsidP="00911A3C">
            <w:r w:rsidRPr="00911A3C">
              <w:t xml:space="preserve">Contact all parent/carers, including those who were due to visit the setting or had arranged a start date. </w:t>
            </w:r>
          </w:p>
          <w:p w14:paraId="404CB6D9" w14:textId="77777777" w:rsidR="00911A3C" w:rsidRPr="00911A3C" w:rsidRDefault="009141E7" w:rsidP="00911A3C">
            <w:r>
              <w:lastRenderedPageBreak/>
              <w:t xml:space="preserve">Explain the offer available to those parents who have children in priority groups. </w:t>
            </w:r>
          </w:p>
        </w:tc>
        <w:tc>
          <w:tcPr>
            <w:tcW w:w="1053" w:type="dxa"/>
          </w:tcPr>
          <w:p w14:paraId="5A0F75A0" w14:textId="77777777" w:rsidR="00911A3C" w:rsidRPr="00911A3C" w:rsidRDefault="00911A3C" w:rsidP="00911A3C"/>
        </w:tc>
        <w:tc>
          <w:tcPr>
            <w:tcW w:w="4475" w:type="dxa"/>
          </w:tcPr>
          <w:p w14:paraId="1E207051" w14:textId="77777777" w:rsidR="00911A3C" w:rsidRPr="00911A3C" w:rsidRDefault="00911A3C" w:rsidP="00911A3C"/>
        </w:tc>
      </w:tr>
      <w:tr w:rsidR="008D0950" w:rsidRPr="00911A3C" w14:paraId="305F6686" w14:textId="77777777" w:rsidTr="00BD2B58">
        <w:tc>
          <w:tcPr>
            <w:tcW w:w="4957" w:type="dxa"/>
          </w:tcPr>
          <w:p w14:paraId="4D9F97E6" w14:textId="77777777" w:rsidR="008D0950" w:rsidRPr="00911A3C" w:rsidRDefault="008D0950" w:rsidP="00911A3C">
            <w:r>
              <w:t xml:space="preserve">Check the setting diary to cancel visitors and training due to be attended. </w:t>
            </w:r>
          </w:p>
        </w:tc>
        <w:tc>
          <w:tcPr>
            <w:tcW w:w="1053" w:type="dxa"/>
          </w:tcPr>
          <w:p w14:paraId="7E93366E" w14:textId="77777777" w:rsidR="008D0950" w:rsidRPr="00911A3C" w:rsidRDefault="008D0950" w:rsidP="00911A3C"/>
        </w:tc>
        <w:tc>
          <w:tcPr>
            <w:tcW w:w="4475" w:type="dxa"/>
          </w:tcPr>
          <w:p w14:paraId="709C1F08" w14:textId="77777777" w:rsidR="008D0950" w:rsidRPr="00911A3C" w:rsidRDefault="008D0950" w:rsidP="00911A3C"/>
        </w:tc>
      </w:tr>
      <w:tr w:rsidR="00911A3C" w:rsidRPr="00911A3C" w14:paraId="18E65303" w14:textId="77777777" w:rsidTr="00BD2B58">
        <w:tc>
          <w:tcPr>
            <w:tcW w:w="4957" w:type="dxa"/>
          </w:tcPr>
          <w:p w14:paraId="56ECFCD1" w14:textId="77777777" w:rsidR="00911A3C" w:rsidRPr="00911A3C" w:rsidRDefault="009141E7" w:rsidP="00133963">
            <w:r>
              <w:t>Review s</w:t>
            </w:r>
            <w:r w:rsidR="00911A3C" w:rsidRPr="00911A3C">
              <w:t xml:space="preserve">afeguarding </w:t>
            </w:r>
            <w:r w:rsidR="00AE33FD">
              <w:t>and support for</w:t>
            </w:r>
            <w:r w:rsidR="00911A3C" w:rsidRPr="00911A3C">
              <w:t xml:space="preserve"> vulnerable children</w:t>
            </w:r>
            <w:r>
              <w:t xml:space="preserve"> at this time</w:t>
            </w:r>
            <w:r w:rsidR="003C351A">
              <w:t xml:space="preserve"> [revisit risk assessments]</w:t>
            </w:r>
            <w:r>
              <w:t xml:space="preserve">. </w:t>
            </w:r>
            <w:r w:rsidR="00AE33FD">
              <w:t>Contact relevant professionals</w:t>
            </w:r>
            <w:r w:rsidR="00133963">
              <w:t>,</w:t>
            </w:r>
            <w:r w:rsidR="00AE33FD">
              <w:t xml:space="preserve"> </w:t>
            </w:r>
            <w:r w:rsidR="00133963">
              <w:t xml:space="preserve">and </w:t>
            </w:r>
            <w:r>
              <w:t xml:space="preserve">agree how to </w:t>
            </w:r>
            <w:r w:rsidR="00AE33FD">
              <w:t>best support children and families</w:t>
            </w:r>
            <w:r>
              <w:t xml:space="preserve"> going forward. </w:t>
            </w:r>
          </w:p>
        </w:tc>
        <w:tc>
          <w:tcPr>
            <w:tcW w:w="1053" w:type="dxa"/>
          </w:tcPr>
          <w:p w14:paraId="5CABCB78" w14:textId="77777777" w:rsidR="00911A3C" w:rsidRPr="00911A3C" w:rsidRDefault="00911A3C" w:rsidP="00911A3C"/>
        </w:tc>
        <w:tc>
          <w:tcPr>
            <w:tcW w:w="4475" w:type="dxa"/>
          </w:tcPr>
          <w:p w14:paraId="45A9A9DD" w14:textId="77777777" w:rsidR="00911A3C" w:rsidRPr="00911A3C" w:rsidRDefault="00911A3C" w:rsidP="00911A3C"/>
        </w:tc>
      </w:tr>
      <w:tr w:rsidR="00911A3C" w:rsidRPr="00911A3C" w14:paraId="54D66342" w14:textId="77777777" w:rsidTr="00BD2B58">
        <w:tc>
          <w:tcPr>
            <w:tcW w:w="4957" w:type="dxa"/>
          </w:tcPr>
          <w:p w14:paraId="570B57C1" w14:textId="77777777" w:rsidR="00911A3C" w:rsidRPr="00911A3C" w:rsidRDefault="00911A3C" w:rsidP="00911A3C">
            <w:r w:rsidRPr="00911A3C">
              <w:t xml:space="preserve">Inform catering and any other suppliers </w:t>
            </w:r>
            <w:r w:rsidR="00BD2B58">
              <w:t xml:space="preserve">as appropriate. </w:t>
            </w:r>
          </w:p>
          <w:p w14:paraId="693273C2" w14:textId="77777777" w:rsidR="00911A3C" w:rsidRPr="00911A3C" w:rsidRDefault="00911A3C" w:rsidP="00911A3C"/>
        </w:tc>
        <w:tc>
          <w:tcPr>
            <w:tcW w:w="1053" w:type="dxa"/>
          </w:tcPr>
          <w:p w14:paraId="4F8FC1DA" w14:textId="77777777" w:rsidR="00911A3C" w:rsidRPr="00911A3C" w:rsidRDefault="00911A3C" w:rsidP="00911A3C"/>
        </w:tc>
        <w:tc>
          <w:tcPr>
            <w:tcW w:w="4475" w:type="dxa"/>
          </w:tcPr>
          <w:p w14:paraId="590CA302" w14:textId="77777777" w:rsidR="00911A3C" w:rsidRPr="00911A3C" w:rsidRDefault="00911A3C" w:rsidP="00911A3C"/>
        </w:tc>
      </w:tr>
      <w:tr w:rsidR="009141E7" w:rsidRPr="00911A3C" w14:paraId="53460725" w14:textId="77777777" w:rsidTr="00BD2B58">
        <w:tc>
          <w:tcPr>
            <w:tcW w:w="4957" w:type="dxa"/>
          </w:tcPr>
          <w:p w14:paraId="3FAACB85" w14:textId="77777777" w:rsidR="009141E7" w:rsidRDefault="00A10AC4" w:rsidP="009141E7">
            <w:r>
              <w:t>Consider</w:t>
            </w:r>
            <w:r w:rsidR="009141E7">
              <w:t xml:space="preserve"> site and resources- what spaces will be used when supporting just priority groups?</w:t>
            </w:r>
          </w:p>
          <w:p w14:paraId="164E806A" w14:textId="77777777" w:rsidR="009141E7" w:rsidRDefault="00BD2B58" w:rsidP="009141E7">
            <w:r>
              <w:t>Return to government guidance-</w:t>
            </w:r>
          </w:p>
          <w:p w14:paraId="5CA126D7" w14:textId="77777777" w:rsidR="00BD2B58" w:rsidRPr="00911A3C" w:rsidRDefault="00B16AB8" w:rsidP="009141E7">
            <w:hyperlink r:id="rId10" w:history="1">
              <w:r w:rsidR="00BD2B58">
                <w:rPr>
                  <w:rStyle w:val="Hyperlink"/>
                </w:rPr>
                <w:t>Implementing protective measures</w:t>
              </w:r>
            </w:hyperlink>
            <w:r w:rsidR="00BD2B58">
              <w:t xml:space="preserve"> </w:t>
            </w:r>
            <w:r w:rsidR="003C351A">
              <w:t>[systems of control]</w:t>
            </w:r>
          </w:p>
        </w:tc>
        <w:tc>
          <w:tcPr>
            <w:tcW w:w="1053" w:type="dxa"/>
          </w:tcPr>
          <w:p w14:paraId="2D5BF91F" w14:textId="77777777" w:rsidR="009141E7" w:rsidRPr="00911A3C" w:rsidRDefault="009141E7" w:rsidP="00911A3C"/>
        </w:tc>
        <w:tc>
          <w:tcPr>
            <w:tcW w:w="4475" w:type="dxa"/>
          </w:tcPr>
          <w:p w14:paraId="3C70ED22" w14:textId="77777777" w:rsidR="009141E7" w:rsidRPr="00911A3C" w:rsidRDefault="009141E7" w:rsidP="00911A3C"/>
        </w:tc>
      </w:tr>
      <w:tr w:rsidR="00911A3C" w:rsidRPr="00911A3C" w14:paraId="317FA039" w14:textId="77777777" w:rsidTr="00BD2B58">
        <w:tc>
          <w:tcPr>
            <w:tcW w:w="4957" w:type="dxa"/>
          </w:tcPr>
          <w:p w14:paraId="408CEF75" w14:textId="77777777" w:rsidR="009141E7" w:rsidRDefault="009141E7" w:rsidP="009141E7">
            <w:r>
              <w:t>Consider how to maintain contact with all children and families to keep them informed, but also to support their emotional wellbeing</w:t>
            </w:r>
            <w:r w:rsidR="00A10AC4">
              <w:t>,</w:t>
            </w:r>
            <w:r>
              <w:t xml:space="preserve"> and </w:t>
            </w:r>
            <w:r w:rsidR="00A10AC4">
              <w:t xml:space="preserve">to </w:t>
            </w:r>
            <w:r>
              <w:t xml:space="preserve">offer ideas around the home learning environment. </w:t>
            </w:r>
          </w:p>
          <w:p w14:paraId="79CB2D3F" w14:textId="77777777" w:rsidR="009141E7" w:rsidRDefault="009141E7" w:rsidP="009141E7"/>
          <w:p w14:paraId="0293D09D" w14:textId="77777777" w:rsidR="00911A3C" w:rsidRPr="00911A3C" w:rsidRDefault="00911A3C" w:rsidP="009141E7">
            <w:pPr>
              <w:rPr>
                <w:rFonts w:eastAsia="Times New Roman" w:cstheme="minorHAnsi"/>
                <w:lang w:val="en" w:eastAsia="en-GB"/>
              </w:rPr>
            </w:pPr>
            <w:r w:rsidRPr="00911A3C">
              <w:rPr>
                <w:rFonts w:eastAsia="Times New Roman" w:cstheme="minorHAnsi"/>
                <w:lang w:val="en" w:eastAsia="en-GB"/>
              </w:rPr>
              <w:t>Early years settings can direct parents to:</w:t>
            </w:r>
          </w:p>
          <w:p w14:paraId="7BB6BAEC" w14:textId="77777777" w:rsidR="00911A3C" w:rsidRPr="00911A3C" w:rsidRDefault="00911A3C" w:rsidP="00911A3C">
            <w:pPr>
              <w:numPr>
                <w:ilvl w:val="0"/>
                <w:numId w:val="1"/>
              </w:numPr>
              <w:spacing w:before="100" w:beforeAutospacing="1" w:after="100" w:afterAutospacing="1"/>
              <w:rPr>
                <w:rFonts w:eastAsia="Times New Roman" w:cstheme="minorHAnsi"/>
                <w:lang w:val="en" w:eastAsia="en-GB"/>
              </w:rPr>
            </w:pPr>
            <w:r w:rsidRPr="00911A3C">
              <w:rPr>
                <w:rFonts w:eastAsia="Times New Roman" w:cstheme="minorHAnsi"/>
                <w:lang w:val="en" w:eastAsia="en-GB"/>
              </w:rPr>
              <w:t xml:space="preserve">the Department for Education’s </w:t>
            </w:r>
            <w:hyperlink r:id="rId11" w:history="1">
              <w:r w:rsidRPr="00911A3C">
                <w:rPr>
                  <w:rFonts w:eastAsia="Times New Roman" w:cstheme="minorHAnsi"/>
                  <w:color w:val="0000FF"/>
                  <w:u w:val="single"/>
                  <w:lang w:val="en" w:eastAsia="en-GB"/>
                </w:rPr>
                <w:t>Hungry Little Minds</w:t>
              </w:r>
            </w:hyperlink>
            <w:r w:rsidRPr="00911A3C">
              <w:rPr>
                <w:rFonts w:eastAsia="Times New Roman" w:cstheme="minorHAnsi"/>
                <w:lang w:val="en" w:eastAsia="en-GB"/>
              </w:rPr>
              <w:t xml:space="preserve"> campaign</w:t>
            </w:r>
          </w:p>
          <w:p w14:paraId="2C2DF02A" w14:textId="77777777" w:rsidR="00911A3C" w:rsidRPr="00911A3C" w:rsidRDefault="00911A3C" w:rsidP="00911A3C">
            <w:pPr>
              <w:numPr>
                <w:ilvl w:val="0"/>
                <w:numId w:val="1"/>
              </w:numPr>
              <w:spacing w:before="100" w:beforeAutospacing="1" w:after="100" w:afterAutospacing="1"/>
              <w:rPr>
                <w:rFonts w:eastAsia="Times New Roman" w:cstheme="minorHAnsi"/>
                <w:lang w:val="en" w:eastAsia="en-GB"/>
              </w:rPr>
            </w:pPr>
            <w:r w:rsidRPr="00911A3C">
              <w:rPr>
                <w:rFonts w:eastAsia="Times New Roman" w:cstheme="minorHAnsi"/>
                <w:lang w:val="en" w:eastAsia="en-GB"/>
              </w:rPr>
              <w:t xml:space="preserve">the BBC’s </w:t>
            </w:r>
            <w:hyperlink r:id="rId12" w:history="1">
              <w:r w:rsidRPr="00911A3C">
                <w:rPr>
                  <w:rFonts w:eastAsia="Times New Roman" w:cstheme="minorHAnsi"/>
                  <w:color w:val="0000FF"/>
                  <w:u w:val="single"/>
                  <w:lang w:val="en" w:eastAsia="en-GB"/>
                </w:rPr>
                <w:t>Tiny Happy People</w:t>
              </w:r>
            </w:hyperlink>
            <w:r w:rsidRPr="00911A3C">
              <w:rPr>
                <w:rFonts w:eastAsia="Times New Roman" w:cstheme="minorHAnsi"/>
                <w:lang w:val="en" w:eastAsia="en-GB"/>
              </w:rPr>
              <w:t xml:space="preserve"> </w:t>
            </w:r>
          </w:p>
          <w:p w14:paraId="7963528C" w14:textId="77777777" w:rsidR="00911A3C" w:rsidRPr="00911A3C" w:rsidRDefault="00911A3C" w:rsidP="00911A3C">
            <w:pPr>
              <w:numPr>
                <w:ilvl w:val="0"/>
                <w:numId w:val="1"/>
              </w:numPr>
              <w:spacing w:before="100" w:beforeAutospacing="1" w:after="100" w:afterAutospacing="1"/>
              <w:rPr>
                <w:rFonts w:eastAsia="Times New Roman" w:cstheme="minorHAnsi"/>
                <w:lang w:val="en" w:eastAsia="en-GB"/>
              </w:rPr>
            </w:pPr>
            <w:r w:rsidRPr="00911A3C">
              <w:rPr>
                <w:rFonts w:eastAsia="Times New Roman" w:cstheme="minorHAnsi"/>
                <w:lang w:val="en" w:eastAsia="en-GB"/>
              </w:rPr>
              <w:t xml:space="preserve">the </w:t>
            </w:r>
            <w:hyperlink r:id="rId13" w:history="1">
              <w:r w:rsidRPr="00911A3C">
                <w:rPr>
                  <w:rFonts w:eastAsia="Times New Roman" w:cstheme="minorHAnsi"/>
                  <w:color w:val="0000FF"/>
                  <w:u w:val="single"/>
                  <w:lang w:val="en" w:eastAsia="en-GB"/>
                </w:rPr>
                <w:t>National Literacy Trust’s Family Zone</w:t>
              </w:r>
            </w:hyperlink>
            <w:r w:rsidRPr="00911A3C">
              <w:rPr>
                <w:rFonts w:eastAsia="Times New Roman" w:cstheme="minorHAnsi"/>
                <w:lang w:val="en" w:eastAsia="en-GB"/>
              </w:rPr>
              <w:t xml:space="preserve"> </w:t>
            </w:r>
          </w:p>
          <w:p w14:paraId="7262B626" w14:textId="77777777" w:rsidR="00911A3C" w:rsidRDefault="00911A3C" w:rsidP="00BD2B58">
            <w:pPr>
              <w:spacing w:before="100" w:beforeAutospacing="1" w:after="100" w:afterAutospacing="1"/>
              <w:rPr>
                <w:rFonts w:eastAsia="Times New Roman" w:cstheme="minorHAnsi"/>
                <w:lang w:val="en" w:eastAsia="en-GB"/>
              </w:rPr>
            </w:pPr>
            <w:r w:rsidRPr="00911A3C">
              <w:rPr>
                <w:rFonts w:eastAsia="Times New Roman" w:cstheme="minorHAnsi"/>
                <w:lang w:val="en" w:eastAsia="en-GB"/>
              </w:rPr>
              <w:t xml:space="preserve">The Department for Education has also published further guidance on </w:t>
            </w:r>
            <w:hyperlink r:id="rId14" w:history="1">
              <w:r w:rsidRPr="00911A3C">
                <w:rPr>
                  <w:rFonts w:eastAsia="Times New Roman" w:cstheme="minorHAnsi"/>
                  <w:color w:val="0000FF"/>
                  <w:u w:val="single"/>
                  <w:lang w:val="en" w:eastAsia="en-GB"/>
                </w:rPr>
                <w:t>how to help children aged 2 to 4 to learn at home during coronavirus (COVID-19)</w:t>
              </w:r>
            </w:hyperlink>
            <w:r w:rsidRPr="00911A3C">
              <w:rPr>
                <w:rFonts w:eastAsia="Times New Roman" w:cstheme="minorHAnsi"/>
                <w:lang w:val="en" w:eastAsia="en-GB"/>
              </w:rPr>
              <w:t>.</w:t>
            </w:r>
          </w:p>
          <w:p w14:paraId="4FF2C238" w14:textId="77777777" w:rsidR="00BD2B58" w:rsidRPr="00BD2B58" w:rsidRDefault="00BD2B58" w:rsidP="00BD2B58">
            <w:pPr>
              <w:spacing w:before="100" w:beforeAutospacing="1" w:after="100" w:afterAutospacing="1"/>
              <w:rPr>
                <w:rFonts w:eastAsia="Times New Roman" w:cstheme="minorHAnsi"/>
                <w:lang w:val="en" w:eastAsia="en-GB"/>
              </w:rPr>
            </w:pPr>
          </w:p>
        </w:tc>
        <w:tc>
          <w:tcPr>
            <w:tcW w:w="1053" w:type="dxa"/>
          </w:tcPr>
          <w:p w14:paraId="2F11C645" w14:textId="77777777" w:rsidR="00911A3C" w:rsidRPr="00911A3C" w:rsidRDefault="00911A3C" w:rsidP="00911A3C"/>
        </w:tc>
        <w:tc>
          <w:tcPr>
            <w:tcW w:w="4475" w:type="dxa"/>
          </w:tcPr>
          <w:p w14:paraId="57F01C6F" w14:textId="77777777" w:rsidR="00911A3C" w:rsidRPr="00911A3C" w:rsidRDefault="00911A3C" w:rsidP="00911A3C"/>
        </w:tc>
      </w:tr>
    </w:tbl>
    <w:p w14:paraId="1264BF71" w14:textId="02759AC5" w:rsidR="00AB2B8B" w:rsidRDefault="00EA06BF">
      <w:r>
        <w:t>In the case of a local lockdown the LA will issue guidance</w:t>
      </w:r>
      <w:r w:rsidR="008D0950">
        <w:t xml:space="preserve"> if there </w:t>
      </w:r>
      <w:r w:rsidR="003C6CE0">
        <w:t>is Early</w:t>
      </w:r>
      <w:r>
        <w:t xml:space="preserve"> Education Funding flexibility </w:t>
      </w:r>
    </w:p>
    <w:p w14:paraId="3E111EED" w14:textId="093C269B" w:rsidR="00463218" w:rsidRPr="003C6CE0" w:rsidRDefault="003C6CE0" w:rsidP="003C6CE0">
      <w:pPr>
        <w:pBdr>
          <w:top w:val="single" w:sz="4" w:space="1" w:color="auto"/>
          <w:left w:val="single" w:sz="4" w:space="4" w:color="auto"/>
          <w:bottom w:val="single" w:sz="4" w:space="1" w:color="auto"/>
          <w:right w:val="single" w:sz="4" w:space="4" w:color="auto"/>
        </w:pBdr>
        <w:rPr>
          <w:rStyle w:val="Hyperlink"/>
          <w:rFonts w:ascii="Arial" w:hAnsi="Arial" w:cs="Arial"/>
          <w:sz w:val="20"/>
          <w:szCs w:val="20"/>
          <w:u w:val="none"/>
        </w:rPr>
      </w:pPr>
      <w:r>
        <w:rPr>
          <w:rFonts w:ascii="Arial" w:hAnsi="Arial" w:cs="Arial"/>
          <w:sz w:val="20"/>
          <w:szCs w:val="20"/>
        </w:rPr>
        <w:t xml:space="preserve"> </w:t>
      </w:r>
      <w:r w:rsidRPr="003C6CE0">
        <w:rPr>
          <w:rStyle w:val="Hyperlink"/>
          <w:rFonts w:ascii="Arial" w:hAnsi="Arial" w:cs="Arial"/>
          <w:b/>
          <w:color w:val="auto"/>
          <w:sz w:val="20"/>
          <w:szCs w:val="20"/>
          <w:u w:val="none"/>
        </w:rPr>
        <w:t>Public Health England</w:t>
      </w:r>
      <w:r>
        <w:rPr>
          <w:rFonts w:ascii="Arial" w:hAnsi="Arial" w:cs="Arial"/>
          <w:sz w:val="20"/>
          <w:szCs w:val="20"/>
        </w:rPr>
        <w:t xml:space="preserve">    </w:t>
      </w:r>
      <w:hyperlink r:id="rId15" w:history="1">
        <w:r w:rsidRPr="003C6CE0">
          <w:rPr>
            <w:rStyle w:val="Hyperlink"/>
            <w:rFonts w:ascii="Arial" w:hAnsi="Arial" w:cs="Arial"/>
            <w:sz w:val="20"/>
            <w:szCs w:val="20"/>
          </w:rPr>
          <w:t>https://surveys.phe.org.uk/TakeSurvey.aspx?SurveyID=n4KL97m2I</w:t>
        </w:r>
      </w:hyperlink>
      <w:r w:rsidRPr="003C6CE0">
        <w:rPr>
          <w:rStyle w:val="Hyperlink"/>
          <w:rFonts w:ascii="Arial" w:hAnsi="Arial" w:cs="Arial"/>
          <w:sz w:val="20"/>
          <w:szCs w:val="20"/>
        </w:rPr>
        <w:t xml:space="preserve">  </w:t>
      </w:r>
    </w:p>
    <w:p w14:paraId="3DA19C86" w14:textId="74BF18C2" w:rsidR="003C6CE0" w:rsidRPr="003C6CE0" w:rsidRDefault="003C6CE0" w:rsidP="003C6CE0">
      <w:pPr>
        <w:pBdr>
          <w:top w:val="single" w:sz="4" w:space="1" w:color="auto"/>
          <w:left w:val="single" w:sz="4" w:space="4" w:color="auto"/>
          <w:bottom w:val="single" w:sz="4" w:space="1" w:color="auto"/>
          <w:right w:val="single" w:sz="4" w:space="4" w:color="auto"/>
        </w:pBdr>
        <w:rPr>
          <w:rFonts w:ascii="Arial" w:hAnsi="Arial" w:cs="Arial"/>
          <w:sz w:val="20"/>
          <w:szCs w:val="20"/>
        </w:rPr>
      </w:pPr>
      <w:r w:rsidRPr="003C6CE0">
        <w:rPr>
          <w:rFonts w:ascii="Arial" w:hAnsi="Arial" w:cs="Arial"/>
          <w:sz w:val="20"/>
          <w:szCs w:val="20"/>
        </w:rPr>
        <w:t>You will then be given links and information on how to manage the outbreak. PHE office for URGENT advice that cannot be located online. .. 0344 225 3560 Option 0, Option 2.</w:t>
      </w:r>
    </w:p>
    <w:p w14:paraId="6225B639" w14:textId="5F69F31A" w:rsidR="003C6CE0" w:rsidRPr="003C6CE0" w:rsidRDefault="003C6CE0" w:rsidP="003C6CE0">
      <w:pPr>
        <w:pBdr>
          <w:top w:val="single" w:sz="4" w:space="1" w:color="auto"/>
          <w:left w:val="single" w:sz="4" w:space="4" w:color="auto"/>
          <w:bottom w:val="single" w:sz="4" w:space="1" w:color="auto"/>
          <w:right w:val="single" w:sz="4" w:space="4" w:color="auto"/>
        </w:pBdr>
        <w:jc w:val="center"/>
        <w:rPr>
          <w:rFonts w:ascii="Arial" w:hAnsi="Arial" w:cs="Arial"/>
          <w:sz w:val="20"/>
          <w:szCs w:val="20"/>
        </w:rPr>
      </w:pPr>
      <w:r>
        <w:rPr>
          <w:rFonts w:ascii="Arial" w:hAnsi="Arial" w:cs="Arial"/>
          <w:sz w:val="20"/>
          <w:szCs w:val="20"/>
        </w:rPr>
        <w:t>~  ~  ~  ~</w:t>
      </w:r>
    </w:p>
    <w:p w14:paraId="14632B1C" w14:textId="1C8F7BC7" w:rsidR="003C6CE0" w:rsidRPr="003C6CE0" w:rsidRDefault="003C6CE0" w:rsidP="003C6CE0">
      <w:pPr>
        <w:pBdr>
          <w:top w:val="single" w:sz="4" w:space="1" w:color="auto"/>
          <w:left w:val="single" w:sz="4" w:space="4" w:color="auto"/>
          <w:bottom w:val="single" w:sz="4" w:space="1" w:color="auto"/>
          <w:right w:val="single" w:sz="4" w:space="4" w:color="auto"/>
        </w:pBdr>
        <w:rPr>
          <w:rFonts w:ascii="Arial" w:hAnsi="Arial" w:cs="Arial"/>
          <w:sz w:val="20"/>
          <w:szCs w:val="20"/>
        </w:rPr>
      </w:pPr>
      <w:r w:rsidRPr="003C6CE0">
        <w:rPr>
          <w:rFonts w:ascii="Arial" w:hAnsi="Arial" w:cs="Arial"/>
          <w:sz w:val="20"/>
          <w:szCs w:val="20"/>
        </w:rPr>
        <w:t>OFSTED If your operating circumstances change (you open or close), notify us by sending an email to enquiries@ofsted.gov.uk with ‘Change in operating hours’ in the subject field. In the body of the email, please confirm the unique reference number for each setting and the details of the change. You can find your URN on your registration, your inspection report(s), and on your Ofsted reports page.</w:t>
      </w:r>
    </w:p>
    <w:p w14:paraId="42FA7A5B" w14:textId="281F2811" w:rsidR="003C6CE0" w:rsidRPr="003C6CE0" w:rsidRDefault="003C6CE0" w:rsidP="003C6CE0">
      <w:pPr>
        <w:pBdr>
          <w:top w:val="single" w:sz="4" w:space="1" w:color="auto"/>
          <w:left w:val="single" w:sz="4" w:space="4" w:color="auto"/>
          <w:bottom w:val="single" w:sz="4" w:space="1" w:color="auto"/>
          <w:right w:val="single" w:sz="4" w:space="4" w:color="auto"/>
        </w:pBdr>
        <w:spacing w:after="0"/>
        <w:jc w:val="center"/>
        <w:rPr>
          <w:rFonts w:ascii="Arial" w:hAnsi="Arial" w:cs="Arial"/>
          <w:sz w:val="20"/>
          <w:szCs w:val="20"/>
        </w:rPr>
      </w:pPr>
      <w:r>
        <w:rPr>
          <w:rFonts w:ascii="Arial" w:hAnsi="Arial" w:cs="Arial"/>
          <w:sz w:val="20"/>
          <w:szCs w:val="20"/>
        </w:rPr>
        <w:t xml:space="preserve">~  ~  ~  ~  </w:t>
      </w:r>
    </w:p>
    <w:p w14:paraId="02FB5E5B" w14:textId="0803637E" w:rsidR="003C6CE0" w:rsidRDefault="003C6CE0" w:rsidP="003C6CE0">
      <w:pPr>
        <w:pBdr>
          <w:top w:val="single" w:sz="4" w:space="1" w:color="auto"/>
          <w:left w:val="single" w:sz="4" w:space="4" w:color="auto"/>
          <w:bottom w:val="single" w:sz="4" w:space="1" w:color="auto"/>
          <w:right w:val="single" w:sz="4" w:space="4" w:color="auto"/>
        </w:pBdr>
        <w:spacing w:after="0"/>
        <w:jc w:val="center"/>
        <w:rPr>
          <w:rFonts w:ascii="Arial" w:hAnsi="Arial" w:cs="Arial"/>
          <w:sz w:val="20"/>
          <w:szCs w:val="20"/>
        </w:rPr>
      </w:pPr>
      <w:r w:rsidRPr="003C6CE0">
        <w:rPr>
          <w:rFonts w:ascii="Arial" w:hAnsi="Arial" w:cs="Arial"/>
          <w:sz w:val="20"/>
          <w:szCs w:val="20"/>
        </w:rPr>
        <w:t xml:space="preserve">Solihull Family Information Service -   </w:t>
      </w:r>
      <w:hyperlink r:id="rId16" w:history="1">
        <w:r w:rsidRPr="003C6CE0">
          <w:rPr>
            <w:rStyle w:val="Hyperlink"/>
            <w:rFonts w:ascii="Arial" w:hAnsi="Arial" w:cs="Arial"/>
            <w:sz w:val="20"/>
            <w:szCs w:val="20"/>
          </w:rPr>
          <w:t>http://www.solgrid.org.uk/eyc/eef/</w:t>
        </w:r>
      </w:hyperlink>
      <w:r w:rsidRPr="003C6CE0">
        <w:rPr>
          <w:rFonts w:ascii="Arial" w:hAnsi="Arial" w:cs="Arial"/>
          <w:sz w:val="20"/>
          <w:szCs w:val="20"/>
        </w:rPr>
        <w:t xml:space="preserve"> </w:t>
      </w:r>
    </w:p>
    <w:p w14:paraId="050C96E5" w14:textId="77777777" w:rsidR="00EA760B" w:rsidRDefault="00EA760B" w:rsidP="003C6CE0">
      <w:pPr>
        <w:pBdr>
          <w:top w:val="single" w:sz="4" w:space="1" w:color="auto"/>
          <w:left w:val="single" w:sz="4" w:space="4" w:color="auto"/>
          <w:bottom w:val="single" w:sz="4" w:space="1" w:color="auto"/>
          <w:right w:val="single" w:sz="4" w:space="4" w:color="auto"/>
        </w:pBdr>
        <w:spacing w:after="0"/>
        <w:jc w:val="center"/>
        <w:rPr>
          <w:rFonts w:ascii="Arial" w:hAnsi="Arial" w:cs="Arial"/>
          <w:sz w:val="20"/>
          <w:szCs w:val="20"/>
        </w:rPr>
      </w:pPr>
    </w:p>
    <w:p w14:paraId="7DA36594" w14:textId="63CB442D" w:rsidR="003C6CE0" w:rsidRDefault="003C6CE0" w:rsidP="003C6CE0">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3C6CE0">
        <w:rPr>
          <w:rFonts w:ascii="Arial" w:hAnsi="Arial" w:cs="Arial"/>
          <w:sz w:val="20"/>
          <w:szCs w:val="20"/>
        </w:rPr>
        <w:t>Setting /school name begins with A-C</w:t>
      </w:r>
      <w:r>
        <w:rPr>
          <w:rFonts w:ascii="Arial" w:hAnsi="Arial" w:cs="Arial"/>
          <w:sz w:val="20"/>
          <w:szCs w:val="20"/>
        </w:rPr>
        <w:t xml:space="preserve">  </w:t>
      </w:r>
      <w:r w:rsidRPr="003C6CE0">
        <w:rPr>
          <w:rFonts w:ascii="Arial" w:hAnsi="Arial" w:cs="Arial"/>
          <w:sz w:val="20"/>
          <w:szCs w:val="20"/>
        </w:rPr>
        <w:t xml:space="preserve">Sarah </w:t>
      </w:r>
      <w:proofErr w:type="spellStart"/>
      <w:r w:rsidRPr="003C6CE0">
        <w:rPr>
          <w:rFonts w:ascii="Arial" w:hAnsi="Arial" w:cs="Arial"/>
          <w:sz w:val="20"/>
          <w:szCs w:val="20"/>
        </w:rPr>
        <w:t>Maflahi</w:t>
      </w:r>
      <w:proofErr w:type="spellEnd"/>
      <w:r w:rsidRPr="003C6CE0">
        <w:rPr>
          <w:rFonts w:ascii="Arial" w:hAnsi="Arial" w:cs="Arial"/>
          <w:sz w:val="20"/>
          <w:szCs w:val="20"/>
        </w:rPr>
        <w:t>, Information Assistant</w:t>
      </w:r>
      <w:r>
        <w:rPr>
          <w:rFonts w:ascii="Arial" w:hAnsi="Arial" w:cs="Arial"/>
          <w:sz w:val="20"/>
          <w:szCs w:val="20"/>
        </w:rPr>
        <w:t xml:space="preserve">  0121 704 6614 </w:t>
      </w:r>
      <w:hyperlink r:id="rId17" w:history="1">
        <w:r w:rsidR="00EA760B" w:rsidRPr="00056DEC">
          <w:rPr>
            <w:rStyle w:val="Hyperlink"/>
            <w:rFonts w:ascii="Arial" w:hAnsi="Arial" w:cs="Arial"/>
            <w:sz w:val="20"/>
            <w:szCs w:val="20"/>
          </w:rPr>
          <w:t>sarah.maflahi@solihull.gov.uk</w:t>
        </w:r>
      </w:hyperlink>
      <w:r>
        <w:rPr>
          <w:rFonts w:ascii="Arial" w:hAnsi="Arial" w:cs="Arial"/>
          <w:sz w:val="20"/>
          <w:szCs w:val="20"/>
        </w:rPr>
        <w:t xml:space="preserve"> </w:t>
      </w:r>
    </w:p>
    <w:p w14:paraId="4EB3923B" w14:textId="77777777" w:rsidR="003C6CE0" w:rsidRPr="003C6CE0" w:rsidRDefault="003C6CE0" w:rsidP="003C6CE0">
      <w:pPr>
        <w:pBdr>
          <w:top w:val="single" w:sz="4" w:space="1" w:color="auto"/>
          <w:left w:val="single" w:sz="4" w:space="4" w:color="auto"/>
          <w:bottom w:val="single" w:sz="4" w:space="1" w:color="auto"/>
          <w:right w:val="single" w:sz="4" w:space="4" w:color="auto"/>
        </w:pBdr>
        <w:spacing w:after="0"/>
        <w:jc w:val="center"/>
        <w:rPr>
          <w:rFonts w:ascii="Arial" w:hAnsi="Arial" w:cs="Arial"/>
          <w:sz w:val="20"/>
          <w:szCs w:val="20"/>
        </w:rPr>
      </w:pPr>
    </w:p>
    <w:p w14:paraId="2B119EB1" w14:textId="36880238" w:rsidR="003C6CE0" w:rsidRPr="003C6CE0" w:rsidRDefault="003C6CE0" w:rsidP="003C6CE0">
      <w:pPr>
        <w:pBdr>
          <w:top w:val="single" w:sz="4" w:space="1" w:color="auto"/>
          <w:left w:val="single" w:sz="4" w:space="4" w:color="auto"/>
          <w:bottom w:val="single" w:sz="4" w:space="1" w:color="auto"/>
          <w:right w:val="single" w:sz="4" w:space="4" w:color="auto"/>
        </w:pBdr>
        <w:shd w:val="clear" w:color="auto" w:fill="FFFFFF"/>
        <w:spacing w:after="240" w:line="350" w:lineRule="auto"/>
        <w:rPr>
          <w:rFonts w:ascii="Arial" w:eastAsia="Times New Roman" w:hAnsi="Arial" w:cs="Arial"/>
          <w:color w:val="333333"/>
          <w:sz w:val="20"/>
          <w:szCs w:val="20"/>
          <w:lang w:eastAsia="en-GB"/>
        </w:rPr>
      </w:pPr>
      <w:r w:rsidRPr="003C6CE0">
        <w:rPr>
          <w:rFonts w:ascii="Arial" w:eastAsia="Times New Roman" w:hAnsi="Arial" w:cs="Arial"/>
          <w:color w:val="333333"/>
          <w:sz w:val="20"/>
          <w:szCs w:val="20"/>
          <w:lang w:eastAsia="en-GB"/>
        </w:rPr>
        <w:t>Setting /school name begins with D-J</w:t>
      </w:r>
      <w:r>
        <w:rPr>
          <w:rFonts w:ascii="Arial" w:eastAsia="Times New Roman" w:hAnsi="Arial" w:cs="Arial"/>
          <w:color w:val="333333"/>
          <w:sz w:val="20"/>
          <w:szCs w:val="20"/>
          <w:lang w:eastAsia="en-GB"/>
        </w:rPr>
        <w:t xml:space="preserve">    </w:t>
      </w:r>
      <w:r w:rsidRPr="003C6CE0">
        <w:rPr>
          <w:rFonts w:ascii="Arial" w:eastAsia="Times New Roman" w:hAnsi="Arial" w:cs="Arial"/>
          <w:color w:val="333333"/>
          <w:sz w:val="20"/>
          <w:szCs w:val="20"/>
          <w:lang w:eastAsia="en-GB"/>
        </w:rPr>
        <w:t>Tom Cure, Senior Information Officer</w:t>
      </w:r>
      <w:r>
        <w:rPr>
          <w:rFonts w:ascii="Arial" w:eastAsia="Times New Roman" w:hAnsi="Arial" w:cs="Arial"/>
          <w:color w:val="333333"/>
          <w:sz w:val="20"/>
          <w:szCs w:val="20"/>
          <w:lang w:eastAsia="en-GB"/>
        </w:rPr>
        <w:t xml:space="preserve"> </w:t>
      </w:r>
      <w:r w:rsidRPr="003C6CE0">
        <w:rPr>
          <w:rFonts w:ascii="Arial" w:eastAsia="Times New Roman" w:hAnsi="Arial" w:cs="Arial"/>
          <w:color w:val="333333"/>
          <w:sz w:val="20"/>
          <w:szCs w:val="20"/>
          <w:lang w:eastAsia="en-GB"/>
        </w:rPr>
        <w:t xml:space="preserve">0121 704 6537 / </w:t>
      </w:r>
      <w:hyperlink r:id="rId18" w:history="1">
        <w:r w:rsidRPr="003C6CE0">
          <w:rPr>
            <w:rFonts w:ascii="Arial" w:eastAsia="Times New Roman" w:hAnsi="Arial" w:cs="Arial"/>
            <w:color w:val="428BCA"/>
            <w:sz w:val="20"/>
            <w:szCs w:val="20"/>
            <w:lang w:eastAsia="en-GB"/>
          </w:rPr>
          <w:t>thcure@solihull.gov.uk</w:t>
        </w:r>
      </w:hyperlink>
    </w:p>
    <w:p w14:paraId="0E43394F" w14:textId="2A1275A5" w:rsidR="003C6CE0" w:rsidRDefault="003C6CE0" w:rsidP="00EA760B">
      <w:pPr>
        <w:pBdr>
          <w:top w:val="single" w:sz="4" w:space="1" w:color="auto"/>
          <w:left w:val="single" w:sz="4" w:space="4" w:color="auto"/>
          <w:bottom w:val="single" w:sz="4" w:space="1" w:color="auto"/>
          <w:right w:val="single" w:sz="4" w:space="4" w:color="auto"/>
        </w:pBdr>
        <w:shd w:val="clear" w:color="auto" w:fill="FFFFFF"/>
        <w:spacing w:after="240" w:line="350" w:lineRule="auto"/>
      </w:pPr>
      <w:r w:rsidRPr="003C6CE0">
        <w:rPr>
          <w:rFonts w:ascii="Arial" w:eastAsia="Times New Roman" w:hAnsi="Arial" w:cs="Arial"/>
          <w:color w:val="333333"/>
          <w:sz w:val="20"/>
          <w:szCs w:val="20"/>
          <w:lang w:eastAsia="en-GB"/>
        </w:rPr>
        <w:t>Setting /school name begins with K-Z</w:t>
      </w:r>
      <w:r>
        <w:rPr>
          <w:rFonts w:ascii="Arial" w:eastAsia="Times New Roman" w:hAnsi="Arial" w:cs="Arial"/>
          <w:color w:val="333333"/>
          <w:sz w:val="20"/>
          <w:szCs w:val="20"/>
          <w:lang w:eastAsia="en-GB"/>
        </w:rPr>
        <w:t xml:space="preserve">    </w:t>
      </w:r>
      <w:r w:rsidRPr="003C6CE0">
        <w:rPr>
          <w:rFonts w:ascii="Arial" w:eastAsia="Times New Roman" w:hAnsi="Arial" w:cs="Arial"/>
          <w:color w:val="333333"/>
          <w:sz w:val="20"/>
          <w:szCs w:val="20"/>
          <w:lang w:eastAsia="en-GB"/>
        </w:rPr>
        <w:t>Sue Ward, Early Education Funding Administrator</w:t>
      </w:r>
      <w:r>
        <w:rPr>
          <w:rFonts w:ascii="Arial" w:eastAsia="Times New Roman" w:hAnsi="Arial" w:cs="Arial"/>
          <w:color w:val="333333"/>
          <w:sz w:val="20"/>
          <w:szCs w:val="20"/>
          <w:lang w:eastAsia="en-GB"/>
        </w:rPr>
        <w:t xml:space="preserve">   </w:t>
      </w:r>
      <w:r w:rsidRPr="003C6CE0">
        <w:rPr>
          <w:rFonts w:ascii="Arial" w:eastAsia="Times New Roman" w:hAnsi="Arial" w:cs="Arial"/>
          <w:color w:val="333333"/>
          <w:sz w:val="20"/>
          <w:szCs w:val="20"/>
          <w:lang w:eastAsia="en-GB"/>
        </w:rPr>
        <w:t xml:space="preserve">0121 704 6015 / </w:t>
      </w:r>
      <w:hyperlink r:id="rId19" w:history="1">
        <w:r w:rsidRPr="003C6CE0">
          <w:rPr>
            <w:rFonts w:ascii="Arial" w:eastAsia="Times New Roman" w:hAnsi="Arial" w:cs="Arial"/>
            <w:color w:val="428BCA"/>
            <w:sz w:val="20"/>
            <w:szCs w:val="20"/>
            <w:lang w:eastAsia="en-GB"/>
          </w:rPr>
          <w:t>suward@solihull.gov.uk</w:t>
        </w:r>
      </w:hyperlink>
    </w:p>
    <w:sectPr w:rsidR="003C6CE0" w:rsidSect="00911A3C">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2C340" w14:textId="77777777" w:rsidR="008D0950" w:rsidRDefault="008D0950" w:rsidP="008D0950">
      <w:pPr>
        <w:spacing w:after="0" w:line="240" w:lineRule="auto"/>
      </w:pPr>
      <w:r>
        <w:separator/>
      </w:r>
    </w:p>
  </w:endnote>
  <w:endnote w:type="continuationSeparator" w:id="0">
    <w:p w14:paraId="687847B3" w14:textId="77777777" w:rsidR="008D0950" w:rsidRDefault="008D0950" w:rsidP="008D0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790A9" w14:textId="77777777" w:rsidR="008D0950" w:rsidRDefault="008D0950">
    <w:pPr>
      <w:pStyle w:val="Footer"/>
    </w:pPr>
    <w:r>
      <w:t xml:space="preserve">Solihull Early Years and Education Improvement Service  July 2020 – emergency lockdown checklist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CBA3A" w14:textId="77777777" w:rsidR="008D0950" w:rsidRDefault="008D0950" w:rsidP="008D0950">
      <w:pPr>
        <w:spacing w:after="0" w:line="240" w:lineRule="auto"/>
      </w:pPr>
      <w:r>
        <w:separator/>
      </w:r>
    </w:p>
  </w:footnote>
  <w:footnote w:type="continuationSeparator" w:id="0">
    <w:p w14:paraId="57230BA9" w14:textId="77777777" w:rsidR="008D0950" w:rsidRDefault="008D0950" w:rsidP="008D09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08F0"/>
    <w:multiLevelType w:val="multilevel"/>
    <w:tmpl w:val="4340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B8B"/>
    <w:rsid w:val="00133963"/>
    <w:rsid w:val="002C569B"/>
    <w:rsid w:val="003C351A"/>
    <w:rsid w:val="003C6CE0"/>
    <w:rsid w:val="00463218"/>
    <w:rsid w:val="008D0950"/>
    <w:rsid w:val="00911A3C"/>
    <w:rsid w:val="009141E7"/>
    <w:rsid w:val="00A10AC4"/>
    <w:rsid w:val="00AB2B8B"/>
    <w:rsid w:val="00AE33FD"/>
    <w:rsid w:val="00B16AB8"/>
    <w:rsid w:val="00B55475"/>
    <w:rsid w:val="00BD2B58"/>
    <w:rsid w:val="00BE31FC"/>
    <w:rsid w:val="00C64B37"/>
    <w:rsid w:val="00EA06BF"/>
    <w:rsid w:val="00EA3D76"/>
    <w:rsid w:val="00EA7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7A2C0"/>
  <w15:chartTrackingRefBased/>
  <w15:docId w15:val="{5418897D-AEA5-4DCE-82CF-4C2F61D42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3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4B37"/>
    <w:rPr>
      <w:color w:val="0563C1" w:themeColor="hyperlink"/>
      <w:u w:val="single"/>
    </w:rPr>
  </w:style>
  <w:style w:type="character" w:styleId="FollowedHyperlink">
    <w:name w:val="FollowedHyperlink"/>
    <w:basedOn w:val="DefaultParagraphFont"/>
    <w:uiPriority w:val="99"/>
    <w:semiHidden/>
    <w:unhideWhenUsed/>
    <w:rsid w:val="00911A3C"/>
    <w:rPr>
      <w:color w:val="954F72" w:themeColor="followedHyperlink"/>
      <w:u w:val="single"/>
    </w:rPr>
  </w:style>
  <w:style w:type="character" w:styleId="CommentReference">
    <w:name w:val="annotation reference"/>
    <w:basedOn w:val="DefaultParagraphFont"/>
    <w:uiPriority w:val="99"/>
    <w:semiHidden/>
    <w:unhideWhenUsed/>
    <w:rsid w:val="003C351A"/>
    <w:rPr>
      <w:sz w:val="16"/>
      <w:szCs w:val="16"/>
    </w:rPr>
  </w:style>
  <w:style w:type="paragraph" w:styleId="CommentText">
    <w:name w:val="annotation text"/>
    <w:basedOn w:val="Normal"/>
    <w:link w:val="CommentTextChar"/>
    <w:uiPriority w:val="99"/>
    <w:semiHidden/>
    <w:unhideWhenUsed/>
    <w:rsid w:val="003C351A"/>
    <w:pPr>
      <w:spacing w:line="240" w:lineRule="auto"/>
    </w:pPr>
    <w:rPr>
      <w:sz w:val="20"/>
      <w:szCs w:val="20"/>
    </w:rPr>
  </w:style>
  <w:style w:type="character" w:customStyle="1" w:styleId="CommentTextChar">
    <w:name w:val="Comment Text Char"/>
    <w:basedOn w:val="DefaultParagraphFont"/>
    <w:link w:val="CommentText"/>
    <w:uiPriority w:val="99"/>
    <w:semiHidden/>
    <w:rsid w:val="003C351A"/>
    <w:rPr>
      <w:sz w:val="20"/>
      <w:szCs w:val="20"/>
    </w:rPr>
  </w:style>
  <w:style w:type="paragraph" w:styleId="CommentSubject">
    <w:name w:val="annotation subject"/>
    <w:basedOn w:val="CommentText"/>
    <w:next w:val="CommentText"/>
    <w:link w:val="CommentSubjectChar"/>
    <w:uiPriority w:val="99"/>
    <w:semiHidden/>
    <w:unhideWhenUsed/>
    <w:rsid w:val="003C351A"/>
    <w:rPr>
      <w:b/>
      <w:bCs/>
    </w:rPr>
  </w:style>
  <w:style w:type="character" w:customStyle="1" w:styleId="CommentSubjectChar">
    <w:name w:val="Comment Subject Char"/>
    <w:basedOn w:val="CommentTextChar"/>
    <w:link w:val="CommentSubject"/>
    <w:uiPriority w:val="99"/>
    <w:semiHidden/>
    <w:rsid w:val="003C351A"/>
    <w:rPr>
      <w:b/>
      <w:bCs/>
      <w:sz w:val="20"/>
      <w:szCs w:val="20"/>
    </w:rPr>
  </w:style>
  <w:style w:type="paragraph" w:styleId="BalloonText">
    <w:name w:val="Balloon Text"/>
    <w:basedOn w:val="Normal"/>
    <w:link w:val="BalloonTextChar"/>
    <w:uiPriority w:val="99"/>
    <w:semiHidden/>
    <w:unhideWhenUsed/>
    <w:rsid w:val="003C35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51A"/>
    <w:rPr>
      <w:rFonts w:ascii="Segoe UI" w:hAnsi="Segoe UI" w:cs="Segoe UI"/>
      <w:sz w:val="18"/>
      <w:szCs w:val="18"/>
    </w:rPr>
  </w:style>
  <w:style w:type="paragraph" w:styleId="Header">
    <w:name w:val="header"/>
    <w:basedOn w:val="Normal"/>
    <w:link w:val="HeaderChar"/>
    <w:uiPriority w:val="99"/>
    <w:unhideWhenUsed/>
    <w:rsid w:val="008D09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0950"/>
  </w:style>
  <w:style w:type="paragraph" w:styleId="Footer">
    <w:name w:val="footer"/>
    <w:basedOn w:val="Normal"/>
    <w:link w:val="FooterChar"/>
    <w:uiPriority w:val="99"/>
    <w:unhideWhenUsed/>
    <w:rsid w:val="008D09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0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331943">
      <w:bodyDiv w:val="1"/>
      <w:marLeft w:val="0"/>
      <w:marRight w:val="0"/>
      <w:marTop w:val="0"/>
      <w:marBottom w:val="0"/>
      <w:divBdr>
        <w:top w:val="none" w:sz="0" w:space="0" w:color="auto"/>
        <w:left w:val="none" w:sz="0" w:space="0" w:color="auto"/>
        <w:bottom w:val="none" w:sz="0" w:space="0" w:color="auto"/>
        <w:right w:val="none" w:sz="0" w:space="0" w:color="auto"/>
      </w:divBdr>
      <w:divsChild>
        <w:div w:id="1233158068">
          <w:marLeft w:val="0"/>
          <w:marRight w:val="0"/>
          <w:marTop w:val="0"/>
          <w:marBottom w:val="0"/>
          <w:divBdr>
            <w:top w:val="none" w:sz="0" w:space="0" w:color="auto"/>
            <w:left w:val="none" w:sz="0" w:space="0" w:color="auto"/>
            <w:bottom w:val="none" w:sz="0" w:space="0" w:color="auto"/>
            <w:right w:val="none" w:sz="0" w:space="0" w:color="auto"/>
          </w:divBdr>
          <w:divsChild>
            <w:div w:id="924455986">
              <w:marLeft w:val="0"/>
              <w:marRight w:val="0"/>
              <w:marTop w:val="0"/>
              <w:marBottom w:val="0"/>
              <w:divBdr>
                <w:top w:val="none" w:sz="0" w:space="0" w:color="auto"/>
                <w:left w:val="none" w:sz="0" w:space="0" w:color="auto"/>
                <w:bottom w:val="none" w:sz="0" w:space="0" w:color="auto"/>
                <w:right w:val="none" w:sz="0" w:space="0" w:color="auto"/>
              </w:divBdr>
              <w:divsChild>
                <w:div w:id="347952355">
                  <w:marLeft w:val="0"/>
                  <w:marRight w:val="0"/>
                  <w:marTop w:val="0"/>
                  <w:marBottom w:val="0"/>
                  <w:divBdr>
                    <w:top w:val="none" w:sz="0" w:space="0" w:color="auto"/>
                    <w:left w:val="none" w:sz="0" w:space="0" w:color="auto"/>
                    <w:bottom w:val="none" w:sz="0" w:space="0" w:color="auto"/>
                    <w:right w:val="none" w:sz="0" w:space="0" w:color="auto"/>
                  </w:divBdr>
                  <w:divsChild>
                    <w:div w:id="19543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516631">
      <w:bodyDiv w:val="1"/>
      <w:marLeft w:val="0"/>
      <w:marRight w:val="0"/>
      <w:marTop w:val="0"/>
      <w:marBottom w:val="0"/>
      <w:divBdr>
        <w:top w:val="none" w:sz="0" w:space="0" w:color="auto"/>
        <w:left w:val="none" w:sz="0" w:space="0" w:color="auto"/>
        <w:bottom w:val="none" w:sz="0" w:space="0" w:color="auto"/>
        <w:right w:val="none" w:sz="0" w:space="0" w:color="auto"/>
      </w:divBdr>
      <w:divsChild>
        <w:div w:id="55202604">
          <w:marLeft w:val="0"/>
          <w:marRight w:val="0"/>
          <w:marTop w:val="0"/>
          <w:marBottom w:val="0"/>
          <w:divBdr>
            <w:top w:val="none" w:sz="0" w:space="0" w:color="auto"/>
            <w:left w:val="none" w:sz="0" w:space="0" w:color="auto"/>
            <w:bottom w:val="none" w:sz="0" w:space="0" w:color="auto"/>
            <w:right w:val="none" w:sz="0" w:space="0" w:color="auto"/>
          </w:divBdr>
          <w:divsChild>
            <w:div w:id="964969940">
              <w:marLeft w:val="0"/>
              <w:marRight w:val="0"/>
              <w:marTop w:val="0"/>
              <w:marBottom w:val="0"/>
              <w:divBdr>
                <w:top w:val="none" w:sz="0" w:space="0" w:color="auto"/>
                <w:left w:val="none" w:sz="0" w:space="0" w:color="auto"/>
                <w:bottom w:val="none" w:sz="0" w:space="0" w:color="auto"/>
                <w:right w:val="none" w:sz="0" w:space="0" w:color="auto"/>
              </w:divBdr>
              <w:divsChild>
                <w:div w:id="643780014">
                  <w:marLeft w:val="0"/>
                  <w:marRight w:val="0"/>
                  <w:marTop w:val="0"/>
                  <w:marBottom w:val="0"/>
                  <w:divBdr>
                    <w:top w:val="none" w:sz="0" w:space="0" w:color="auto"/>
                    <w:left w:val="none" w:sz="0" w:space="0" w:color="auto"/>
                    <w:bottom w:val="none" w:sz="0" w:space="0" w:color="auto"/>
                    <w:right w:val="none" w:sz="0" w:space="0" w:color="auto"/>
                  </w:divBdr>
                  <w:divsChild>
                    <w:div w:id="982737217">
                      <w:marLeft w:val="0"/>
                      <w:marRight w:val="0"/>
                      <w:marTop w:val="0"/>
                      <w:marBottom w:val="0"/>
                      <w:divBdr>
                        <w:top w:val="none" w:sz="0" w:space="0" w:color="auto"/>
                        <w:left w:val="none" w:sz="0" w:space="0" w:color="auto"/>
                        <w:bottom w:val="none" w:sz="0" w:space="0" w:color="auto"/>
                        <w:right w:val="none" w:sz="0" w:space="0" w:color="auto"/>
                      </w:divBdr>
                      <w:divsChild>
                        <w:div w:id="1938633556">
                          <w:marLeft w:val="0"/>
                          <w:marRight w:val="0"/>
                          <w:marTop w:val="0"/>
                          <w:marBottom w:val="0"/>
                          <w:divBdr>
                            <w:top w:val="none" w:sz="0" w:space="0" w:color="auto"/>
                            <w:left w:val="none" w:sz="0" w:space="0" w:color="auto"/>
                            <w:bottom w:val="none" w:sz="0" w:space="0" w:color="auto"/>
                            <w:right w:val="none" w:sz="0" w:space="0" w:color="auto"/>
                          </w:divBdr>
                          <w:divsChild>
                            <w:div w:id="86599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local-lockdowns-guidance-for-education-and-childcare-settings/guidance-for-educational-and-childcare-settings-in-leicester-and-the-affected-parts-of-leicestershire" TargetMode="External"/><Relationship Id="rId13" Type="http://schemas.openxmlformats.org/officeDocument/2006/relationships/hyperlink" Target="https://literacytrust.org.uk/family-zone/" TargetMode="External"/><Relationship Id="rId18" Type="http://schemas.openxmlformats.org/officeDocument/2006/relationships/hyperlink" Target="mailto:thcure@solihull.gov.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bc.co.uk/tiny-happy-people" TargetMode="External"/><Relationship Id="rId17" Type="http://schemas.openxmlformats.org/officeDocument/2006/relationships/hyperlink" Target="mailto:sarah.maflahi@solihull.gov.uk" TargetMode="External"/><Relationship Id="rId2" Type="http://schemas.openxmlformats.org/officeDocument/2006/relationships/numbering" Target="numbering.xml"/><Relationship Id="rId16" Type="http://schemas.openxmlformats.org/officeDocument/2006/relationships/hyperlink" Target="http://www.solgrid.org.uk/eyc/ee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ngrylittleminds.campaign.gov.uk/" TargetMode="External"/><Relationship Id="rId5" Type="http://schemas.openxmlformats.org/officeDocument/2006/relationships/webSettings" Target="webSettings.xml"/><Relationship Id="rId15" Type="http://schemas.openxmlformats.org/officeDocument/2006/relationships/hyperlink" Target="https://surveys.phe.org.uk/TakeSurvey.aspx?SurveyID=n4KL97m2I" TargetMode="External"/><Relationship Id="rId10"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19" Type="http://schemas.openxmlformats.org/officeDocument/2006/relationships/hyperlink" Target="mailto:suward@solihull.gov.uk" TargetMode="External"/><Relationship Id="rId4" Type="http://schemas.openxmlformats.org/officeDocument/2006/relationships/settings" Target="settings.xml"/><Relationship Id="rId9" Type="http://schemas.openxmlformats.org/officeDocument/2006/relationships/hyperlink" Target="https://www.gov.uk/government/publications/coronavirus-covid-19-maintaining-educational-provision/guidance-for-schools-colleges-and-local-authorities-on-maintaining-educational-provision" TargetMode="External"/><Relationship Id="rId14" Type="http://schemas.openxmlformats.org/officeDocument/2006/relationships/hyperlink" Target="https://www.gov.uk/guidance/help-children-aged-2-to-4-to-learn-at-home-during-coronavirus-covid-1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2FB18-94E5-4D3B-AA37-026BB4E95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914</Words>
  <Characters>5215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Solihull Metropolitan Borough Council</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Painter, Rachel (Childrens Services - Solihull MBC)</dc:creator>
  <cp:keywords/>
  <dc:description/>
  <cp:lastModifiedBy>Painter, Rachel (Childrens Services - Solihull MBC)</cp:lastModifiedBy>
  <cp:revision>2</cp:revision>
  <dcterms:created xsi:type="dcterms:W3CDTF">2020-07-09T05:41:00Z</dcterms:created>
  <dcterms:modified xsi:type="dcterms:W3CDTF">2020-07-09T05:41:00Z</dcterms:modified>
</cp:coreProperties>
</file>