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A3067C" w:rsidRPr="00A3067C" w:rsidRDefault="00312835" w:rsidP="00A3067C">
            <w:pPr>
              <w:rPr>
                <w:rFonts w:ascii="Arial" w:hAnsi="Arial" w:cs="Arial"/>
                <w:b w:val="0"/>
                <w:color w:val="1F497D"/>
              </w:rPr>
            </w:pPr>
            <w:r w:rsidRPr="00A3067C">
              <w:rPr>
                <w:rFonts w:ascii="Arial" w:hAnsi="Arial" w:cs="Arial"/>
                <w:b w:val="0"/>
                <w:color w:val="auto"/>
                <w:lang w:val="en"/>
              </w:rPr>
              <w:t xml:space="preserve">  </w:t>
            </w:r>
            <w:r w:rsidR="00A3067C" w:rsidRPr="00A3067C">
              <w:rPr>
                <w:rFonts w:ascii="Arial" w:hAnsi="Arial" w:cs="Arial"/>
                <w:b w:val="0"/>
                <w:color w:val="1F497D"/>
              </w:rPr>
              <w:t>The Prime Minister has confirmed that early years settings and schools can open to a wider cohort of children from 1</w:t>
            </w:r>
            <w:r w:rsidR="00A3067C" w:rsidRPr="00A3067C">
              <w:rPr>
                <w:rFonts w:ascii="Arial" w:hAnsi="Arial" w:cs="Arial"/>
                <w:b w:val="0"/>
                <w:color w:val="1F497D"/>
                <w:vertAlign w:val="superscript"/>
              </w:rPr>
              <w:t>st</w:t>
            </w:r>
            <w:r w:rsidR="00A3067C" w:rsidRPr="00A3067C">
              <w:rPr>
                <w:rFonts w:ascii="Arial" w:hAnsi="Arial" w:cs="Arial"/>
                <w:b w:val="0"/>
                <w:color w:val="1F497D"/>
              </w:rPr>
              <w:t xml:space="preserve"> June. Solihull Councillors, LA officers and of course critical workers and children thank you for working hard to support families at this time. The EYFS continue in its ‘</w:t>
            </w:r>
            <w:proofErr w:type="spellStart"/>
            <w:r w:rsidR="00A3067C" w:rsidRPr="00A3067C">
              <w:rPr>
                <w:rFonts w:ascii="Arial" w:hAnsi="Arial" w:cs="Arial"/>
                <w:b w:val="0"/>
                <w:color w:val="1F497D"/>
              </w:rPr>
              <w:t>disapplied</w:t>
            </w:r>
            <w:proofErr w:type="spellEnd"/>
            <w:r w:rsidR="00A3067C" w:rsidRPr="00A3067C">
              <w:rPr>
                <w:rFonts w:ascii="Arial" w:hAnsi="Arial" w:cs="Arial"/>
                <w:b w:val="0"/>
                <w:color w:val="1F497D"/>
              </w:rPr>
              <w:t xml:space="preserve">’ form for the time being. We will continue to share information and contact you through Headlines and LA correspondence, as well as communicating with those who contact us with questions and comments. </w:t>
            </w:r>
          </w:p>
          <w:p w:rsidR="00E94CE2" w:rsidRPr="00434079" w:rsidRDefault="00E94CE2" w:rsidP="00420C98">
            <w:pPr>
              <w:rPr>
                <w:rFonts w:ascii="Arial" w:hAnsi="Arial" w:cs="Arial"/>
                <w:b w:val="0"/>
                <w:color w:val="auto"/>
                <w:lang w:val="en"/>
              </w:rPr>
            </w:pP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r w:rsidR="00A3067C">
              <w:rPr>
                <w:rFonts w:ascii="Arial" w:hAnsi="Arial" w:cs="Arial"/>
                <w:b w:val="0"/>
                <w:color w:val="auto"/>
                <w:lang w:val="en"/>
              </w:rPr>
              <w:t xml:space="preserve">we await further guidance for EY      </w:t>
            </w:r>
            <w:hyperlink r:id="rId8" w:history="1">
              <w:r w:rsidR="00F77565" w:rsidRPr="00F51E8A">
                <w:rPr>
                  <w:rStyle w:val="Hyperlink"/>
                  <w:rFonts w:ascii="Arial" w:hAnsi="Arial" w:cs="Arial"/>
                  <w:b w:val="0"/>
                  <w:lang w:val="en"/>
                </w:rPr>
                <w:t>https://foundationyears.org.uk/category/news/</w:t>
              </w:r>
            </w:hyperlink>
            <w:r w:rsidR="00F77565">
              <w:rPr>
                <w:rFonts w:ascii="Arial" w:hAnsi="Arial" w:cs="Arial"/>
                <w:b w:val="0"/>
                <w:color w:val="auto"/>
                <w:lang w:val="en"/>
              </w:rPr>
              <w:t xml:space="preserve"> -documents and </w:t>
            </w:r>
            <w:proofErr w:type="spellStart"/>
            <w:r w:rsidR="00F77565">
              <w:rPr>
                <w:rFonts w:ascii="Arial" w:hAnsi="Arial" w:cs="Arial"/>
                <w:b w:val="0"/>
                <w:color w:val="auto"/>
                <w:lang w:val="en"/>
              </w:rPr>
              <w:t>vodcasts</w:t>
            </w:r>
            <w:proofErr w:type="spellEnd"/>
            <w:r w:rsidR="00F77565">
              <w:rPr>
                <w:rFonts w:ascii="Arial" w:hAnsi="Arial" w:cs="Arial"/>
                <w:b w:val="0"/>
                <w:color w:val="auto"/>
                <w:lang w:val="en"/>
              </w:rPr>
              <w:t xml:space="preserve"> </w:t>
            </w:r>
          </w:p>
          <w:p w:rsidR="00014F36" w:rsidRDefault="00171D21" w:rsidP="00014F36">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important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has confirmed that it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r w:rsidR="00DC1B64">
              <w:rPr>
                <w:rFonts w:ascii="Arial" w:hAnsi="Arial" w:cs="Arial"/>
                <w:b w:val="0"/>
                <w:color w:val="000000" w:themeColor="text1"/>
                <w:sz w:val="22"/>
                <w:szCs w:val="22"/>
              </w:rPr>
              <w:t xml:space="preserve"> Children due to transition to reception should be prioritised after critical worker and vulnerable children.</w:t>
            </w:r>
            <w:r w:rsidR="00A141A2">
              <w:t xml:space="preserve"> </w:t>
            </w:r>
            <w:r w:rsidR="00A141A2" w:rsidRPr="00A141A2">
              <w:rPr>
                <w:rFonts w:ascii="Arial" w:hAnsi="Arial" w:cs="Arial"/>
                <w:b w:val="0"/>
                <w:color w:val="000000" w:themeColor="text1"/>
                <w:sz w:val="22"/>
                <w:szCs w:val="22"/>
              </w:rPr>
              <w:t>Settings can take children of the ages that they normally would.</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9"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They are interacting with a small group of consistent adults and children with a range of protective 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w:t>
            </w:r>
            <w:r w:rsidR="0084684C" w:rsidRPr="00A3067C">
              <w:rPr>
                <w:rFonts w:ascii="Arial" w:hAnsi="Arial" w:cs="Arial"/>
                <w:b w:val="0"/>
                <w:bCs w:val="0"/>
                <w:color w:val="auto"/>
                <w:sz w:val="22"/>
                <w:szCs w:val="22"/>
                <w:lang w:val="en" w:eastAsia="en-US"/>
              </w:rPr>
              <w:t xml:space="preserve">not possible, </w:t>
            </w:r>
            <w:r w:rsidR="00A3067C" w:rsidRPr="00A3067C">
              <w:rPr>
                <w:rFonts w:ascii="Arial" w:hAnsi="Arial" w:cs="Arial"/>
                <w:b w:val="0"/>
                <w:bCs w:val="0"/>
                <w:color w:val="auto"/>
                <w:sz w:val="22"/>
                <w:szCs w:val="22"/>
                <w:lang w:val="en" w:eastAsia="en-US"/>
              </w:rPr>
              <w:t xml:space="preserve">contact </w:t>
            </w:r>
            <w:hyperlink r:id="rId10" w:history="1">
              <w:r w:rsidR="00A3067C" w:rsidRPr="00A3067C">
                <w:rPr>
                  <w:rStyle w:val="Hyperlink"/>
                  <w:rFonts w:ascii="Arial" w:hAnsi="Arial" w:cs="Arial"/>
                  <w:b w:val="0"/>
                  <w:color w:val="auto"/>
                  <w:sz w:val="22"/>
                  <w:szCs w:val="22"/>
                  <w:lang w:val="en" w:eastAsia="en-US"/>
                </w:rPr>
                <w:t>eyenquiries@solihull.gov.uk</w:t>
              </w:r>
            </w:hyperlink>
            <w:r w:rsidR="00A3067C" w:rsidRPr="00A3067C">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E71829" w:rsidRDefault="007B5063" w:rsidP="00A3067C">
            <w:pPr>
              <w:pStyle w:val="NormalWeb"/>
              <w:spacing w:before="0" w:beforeAutospacing="0" w:after="120" w:afterAutospacing="0" w:line="375" w:lineRule="atLeast"/>
              <w:rPr>
                <w:rFonts w:ascii="Arial" w:eastAsia="Times New Roman" w:hAnsi="Arial" w:cs="Arial"/>
                <w:b w:val="0"/>
                <w:color w:val="1F497D" w:themeColor="text2"/>
                <w:sz w:val="20"/>
                <w:szCs w:val="20"/>
              </w:rPr>
            </w:pPr>
            <w:hyperlink r:id="rId11" w:history="1">
              <w:r w:rsidR="00F871E4" w:rsidRPr="00E71829">
                <w:rPr>
                  <w:rStyle w:val="Hyperlink"/>
                  <w:rFonts w:ascii="Arial" w:eastAsia="Times New Roman" w:hAnsi="Arial" w:cs="Arial"/>
                  <w:b w:val="0"/>
                  <w:color w:val="1F497D" w:themeColor="text2"/>
                  <w:sz w:val="20"/>
                  <w:szCs w:val="20"/>
                </w:rPr>
                <w:t>https://www.gov.uk/government/publications/actions-for-educational-and-childcare-settings-to-prepare-for-wider-opening-from-1-june-2020</w:t>
              </w:r>
            </w:hyperlink>
            <w:r w:rsidR="00753551" w:rsidRPr="00E71829">
              <w:rPr>
                <w:rFonts w:ascii="Arial" w:eastAsia="Times New Roman" w:hAnsi="Arial" w:cs="Arial"/>
                <w:b w:val="0"/>
                <w:color w:val="1F497D" w:themeColor="text2"/>
                <w:sz w:val="20"/>
                <w:szCs w:val="20"/>
              </w:rPr>
              <w:t xml:space="preserve"> </w:t>
            </w:r>
            <w:r w:rsidR="00F871E4" w:rsidRPr="00E71829">
              <w:rPr>
                <w:rFonts w:ascii="Arial" w:eastAsia="Times New Roman" w:hAnsi="Arial" w:cs="Arial"/>
                <w:b w:val="0"/>
                <w:color w:val="1F497D" w:themeColor="text2"/>
                <w:sz w:val="20"/>
                <w:szCs w:val="20"/>
              </w:rPr>
              <w:t xml:space="preserve"> </w:t>
            </w:r>
          </w:p>
          <w:p w:rsidR="00753551" w:rsidRPr="00E71829" w:rsidRDefault="007B5063" w:rsidP="00A3067C">
            <w:pPr>
              <w:pStyle w:val="NormalWeb"/>
              <w:spacing w:before="0" w:beforeAutospacing="0" w:after="120" w:afterAutospacing="0" w:line="375" w:lineRule="atLeast"/>
              <w:rPr>
                <w:rFonts w:ascii="Arial" w:hAnsi="Arial" w:cs="Arial"/>
                <w:b w:val="0"/>
                <w:color w:val="1F497D" w:themeColor="text2"/>
                <w:sz w:val="20"/>
                <w:szCs w:val="20"/>
              </w:rPr>
            </w:pPr>
            <w:hyperlink r:id="rId12" w:history="1">
              <w:r w:rsidR="00753551" w:rsidRPr="00E71829">
                <w:rPr>
                  <w:rStyle w:val="Hyperlink"/>
                  <w:rFonts w:ascii="Arial" w:hAnsi="Arial" w:cs="Arial"/>
                  <w:b w:val="0"/>
                  <w:color w:val="1F497D" w:themeColor="text2"/>
                  <w:sz w:val="20"/>
                  <w:szCs w:val="20"/>
                </w:rPr>
                <w:t>https://www.gov.uk/government/publications/coronavirus-covid-19-implementing-protective-measures-in-education-and-childcare-settings</w:t>
              </w:r>
            </w:hyperlink>
            <w:r w:rsidR="00753551" w:rsidRPr="00E71829">
              <w:rPr>
                <w:rFonts w:ascii="Arial" w:hAnsi="Arial" w:cs="Arial"/>
                <w:b w:val="0"/>
                <w:color w:val="1F497D" w:themeColor="text2"/>
                <w:sz w:val="20"/>
                <w:szCs w:val="20"/>
              </w:rPr>
              <w:t xml:space="preserve"> </w:t>
            </w:r>
          </w:p>
          <w:p w:rsidR="00A3067C" w:rsidRPr="00E71829" w:rsidRDefault="007B5063" w:rsidP="00A3067C">
            <w:pPr>
              <w:pStyle w:val="NormalWeb"/>
              <w:spacing w:before="0" w:beforeAutospacing="0" w:after="120" w:afterAutospacing="0" w:line="375" w:lineRule="atLeast"/>
              <w:rPr>
                <w:rFonts w:ascii="Arial" w:hAnsi="Arial" w:cs="Arial"/>
                <w:b w:val="0"/>
                <w:color w:val="1F497D" w:themeColor="text2"/>
                <w:sz w:val="20"/>
                <w:szCs w:val="20"/>
              </w:rPr>
            </w:pPr>
            <w:hyperlink r:id="rId13" w:history="1">
              <w:r w:rsidR="00F51E8A" w:rsidRPr="00E71829">
                <w:rPr>
                  <w:rStyle w:val="Hyperlink"/>
                  <w:rFonts w:ascii="Arial" w:hAnsi="Arial" w:cs="Arial"/>
                  <w:b w:val="0"/>
                  <w:sz w:val="20"/>
                  <w:szCs w:val="20"/>
                </w:rPr>
                <w:t>https://www.gov.uk/government/publications/preparing-for-the-wider-opening-of-early-years-and-childcare-settings-from-1-june/planning-guide-for-early-years-and-childcare-settings</w:t>
              </w:r>
            </w:hyperlink>
            <w:r w:rsidR="00F51E8A" w:rsidRPr="00E71829">
              <w:rPr>
                <w:rFonts w:ascii="Arial" w:hAnsi="Arial" w:cs="Arial"/>
                <w:b w:val="0"/>
                <w:color w:val="1F497D" w:themeColor="text2"/>
                <w:sz w:val="20"/>
                <w:szCs w:val="20"/>
              </w:rPr>
              <w:t xml:space="preserve"> </w:t>
            </w:r>
          </w:p>
          <w:p w:rsidR="00E71829" w:rsidRPr="00E71829" w:rsidRDefault="007B5063" w:rsidP="00A3067C">
            <w:pPr>
              <w:pStyle w:val="NormalWeb"/>
              <w:spacing w:before="0" w:beforeAutospacing="0" w:after="120" w:afterAutospacing="0" w:line="375" w:lineRule="atLeast"/>
              <w:rPr>
                <w:rFonts w:ascii="Arial" w:hAnsi="Arial" w:cs="Arial"/>
                <w:b w:val="0"/>
                <w:color w:val="1F497D" w:themeColor="text2"/>
                <w:sz w:val="22"/>
                <w:szCs w:val="22"/>
              </w:rPr>
            </w:pPr>
            <w:hyperlink r:id="rId14" w:anchor="main-changes-to-previous-guidance" w:history="1">
              <w:r w:rsidR="00E71829" w:rsidRPr="00E71829">
                <w:rPr>
                  <w:rStyle w:val="Hyperlink"/>
                  <w:rFonts w:ascii="Arial" w:hAnsi="Arial" w:cs="Arial"/>
                  <w:b w:val="0"/>
                  <w:sz w:val="20"/>
                  <w:szCs w:val="20"/>
                </w:rPr>
                <w:t>https://www.gov.uk/government/publications/coronavirus-covid-19-early-years-and-childcare-closures/coronavirus-covid-19-early-years-and-childcare-closures#main-changes-to-previous-guidance</w:t>
              </w:r>
            </w:hyperlink>
            <w:r w:rsidR="00E71829" w:rsidRPr="00E71829">
              <w:rPr>
                <w:rFonts w:ascii="Arial" w:hAnsi="Arial" w:cs="Arial"/>
                <w:b w:val="0"/>
                <w:color w:val="1F497D" w:themeColor="text2"/>
                <w:sz w:val="22"/>
                <w:szCs w:val="22"/>
              </w:rPr>
              <w:t xml:space="preserve"> </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7609C">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5"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r w:rsidR="00E7609C">
              <w:t xml:space="preserve"> </w:t>
            </w:r>
            <w:proofErr w:type="spellStart"/>
            <w:r w:rsidR="00E7609C" w:rsidRPr="00E7609C">
              <w:rPr>
                <w:rFonts w:ascii="Arial" w:hAnsi="Arial" w:cs="Arial"/>
                <w:b w:val="0"/>
                <w:color w:val="auto"/>
              </w:rPr>
              <w:t>DfE</w:t>
            </w:r>
            <w:proofErr w:type="spellEnd"/>
            <w:r w:rsidR="00E7609C" w:rsidRPr="00E7609C">
              <w:rPr>
                <w:rFonts w:ascii="Arial" w:hAnsi="Arial" w:cs="Arial"/>
                <w:b w:val="0"/>
                <w:color w:val="auto"/>
              </w:rPr>
              <w:t xml:space="preserve"> will </w:t>
            </w:r>
            <w:r w:rsidR="00E7609C" w:rsidRPr="00E7609C">
              <w:rPr>
                <w:rFonts w:ascii="Arial" w:hAnsi="Arial" w:cs="Arial"/>
                <w:b w:val="0"/>
                <w:color w:val="000000" w:themeColor="text1"/>
              </w:rPr>
              <w:t>continue to run the data collection beyond the 1 June, to ensure that we have information on which children are accessing provision and if there are sufficiency issues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6"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7B5063" w:rsidP="0070281D">
            <w:pPr>
              <w:rPr>
                <w:rFonts w:ascii="Arial" w:hAnsi="Arial" w:cs="Arial"/>
                <w:b w:val="0"/>
                <w:color w:val="auto"/>
              </w:rPr>
            </w:pPr>
            <w:hyperlink r:id="rId17"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lastRenderedPageBreak/>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E71829" w:rsidRPr="00E71829" w:rsidRDefault="007B5063" w:rsidP="00434079">
            <w:pPr>
              <w:rPr>
                <w:rFonts w:ascii="Arial" w:hAnsi="Arial" w:cs="Arial"/>
                <w:b w:val="0"/>
                <w:bCs w:val="0"/>
                <w:color w:val="auto"/>
              </w:rPr>
            </w:pPr>
            <w:hyperlink r:id="rId18" w:history="1">
              <w:r w:rsidR="00E71829" w:rsidRPr="00E71829">
                <w:rPr>
                  <w:rStyle w:val="Hyperlink"/>
                  <w:rFonts w:ascii="Arial" w:hAnsi="Arial" w:cs="Arial"/>
                  <w:b w:val="0"/>
                </w:rPr>
                <w:t>https://www.pacey.org.uk/working-in-childcare/spotlight-on/coronavirus/reopening-settings-coronavirus/</w:t>
              </w:r>
            </w:hyperlink>
            <w:r w:rsidR="00E71829" w:rsidRPr="00E71829">
              <w:rPr>
                <w:rFonts w:ascii="Arial" w:hAnsi="Arial" w:cs="Arial"/>
                <w:b w:val="0"/>
                <w:bCs w:val="0"/>
                <w:color w:val="auto"/>
              </w:rPr>
              <w:t xml:space="preserve"> -free downloadable chart</w:t>
            </w:r>
          </w:p>
          <w:p w:rsidR="00434079" w:rsidRPr="00434079" w:rsidRDefault="00434079" w:rsidP="00434079">
            <w:pPr>
              <w:rPr>
                <w:rFonts w:ascii="Arial" w:hAnsi="Arial" w:cs="Arial"/>
                <w:b w:val="0"/>
                <w:bCs w:val="0"/>
                <w:color w:val="auto"/>
              </w:rPr>
            </w:pPr>
          </w:p>
        </w:tc>
      </w:tr>
    </w:tbl>
    <w:p w:rsidR="00565EB9" w:rsidRPr="00434079" w:rsidRDefault="00565EB9" w:rsidP="00601623">
      <w:pPr>
        <w:jc w:val="center"/>
        <w:rPr>
          <w:rFonts w:ascii="Arial" w:hAnsi="Arial" w:cs="Arial"/>
          <w:b/>
        </w:rPr>
      </w:pPr>
      <w:r w:rsidRPr="00434079">
        <w:rPr>
          <w:rFonts w:ascii="Arial" w:hAnsi="Arial" w:cs="Arial"/>
          <w:b/>
        </w:rPr>
        <w:lastRenderedPageBreak/>
        <w:t>Recovery phase</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When can we open?</w:t>
            </w:r>
          </w:p>
          <w:p w:rsidR="001C636D" w:rsidRPr="00434079" w:rsidRDefault="001C636D">
            <w:pPr>
              <w:rPr>
                <w:rFonts w:ascii="Arial" w:hAnsi="Arial" w:cs="Arial"/>
              </w:rPr>
            </w:pPr>
          </w:p>
        </w:tc>
      </w:tr>
      <w:tr w:rsidR="00D65E52" w:rsidRPr="00434079" w:rsidTr="00D65E52">
        <w:tc>
          <w:tcPr>
            <w:tcW w:w="10456" w:type="dxa"/>
          </w:tcPr>
          <w:p w:rsidR="008E7233" w:rsidRPr="00A56DD5" w:rsidRDefault="008E7233" w:rsidP="006A5F58">
            <w:pPr>
              <w:rPr>
                <w:rFonts w:ascii="Arial" w:hAnsi="Arial" w:cs="Arial"/>
                <w:b/>
                <w:color w:val="FF0000"/>
                <w:lang w:val="en"/>
              </w:rPr>
            </w:pPr>
          </w:p>
          <w:p w:rsidR="00A56DD5" w:rsidRDefault="00D2186A" w:rsidP="00A3067C">
            <w:pPr>
              <w:rPr>
                <w:rFonts w:ascii="Arial" w:hAnsi="Arial" w:cs="Arial"/>
              </w:rPr>
            </w:pPr>
            <w:r w:rsidRPr="00A3067C">
              <w:rPr>
                <w:rFonts w:ascii="Arial" w:hAnsi="Arial" w:cs="Arial"/>
                <w:b/>
                <w:lang w:val="en"/>
              </w:rPr>
              <w:t xml:space="preserve">A: </w:t>
            </w:r>
            <w:r w:rsidR="00A3067C">
              <w:rPr>
                <w:rFonts w:ascii="Arial" w:hAnsi="Arial" w:cs="Arial"/>
              </w:rPr>
              <w:t xml:space="preserve"> 1</w:t>
            </w:r>
            <w:r w:rsidR="00A3067C" w:rsidRPr="00A3067C">
              <w:rPr>
                <w:rFonts w:ascii="Arial" w:hAnsi="Arial" w:cs="Arial"/>
                <w:vertAlign w:val="superscript"/>
              </w:rPr>
              <w:t>st</w:t>
            </w:r>
            <w:r w:rsidR="00A3067C">
              <w:rPr>
                <w:rFonts w:ascii="Arial" w:hAnsi="Arial" w:cs="Arial"/>
              </w:rPr>
              <w:t xml:space="preserve"> June</w:t>
            </w:r>
            <w:r w:rsidR="00781487">
              <w:rPr>
                <w:rFonts w:ascii="Arial" w:hAnsi="Arial" w:cs="Arial"/>
              </w:rPr>
              <w:t xml:space="preserve"> </w:t>
            </w:r>
          </w:p>
          <w:p w:rsidR="00AB2D6D" w:rsidRDefault="00AB2D6D" w:rsidP="00A3067C">
            <w:pPr>
              <w:rPr>
                <w:rFonts w:ascii="Arial" w:hAnsi="Arial" w:cs="Arial"/>
              </w:rPr>
            </w:pPr>
          </w:p>
          <w:p w:rsidR="00AB2D6D" w:rsidRPr="00AB2D6D" w:rsidRDefault="00AB2D6D" w:rsidP="00AB2D6D">
            <w:pPr>
              <w:rPr>
                <w:rFonts w:ascii="Arial" w:hAnsi="Arial" w:cs="Arial"/>
                <w:b/>
              </w:rPr>
            </w:pPr>
            <w:r w:rsidRPr="00AB2D6D">
              <w:rPr>
                <w:rFonts w:ascii="Arial" w:hAnsi="Arial" w:cs="Arial"/>
              </w:rPr>
              <w:t>6.3</w:t>
            </w:r>
            <w:r>
              <w:rPr>
                <w:rFonts w:ascii="Arial" w:hAnsi="Arial" w:cs="Arial"/>
              </w:rPr>
              <w:t xml:space="preserve"> EY</w:t>
            </w:r>
            <w:r w:rsidRPr="00AB2D6D">
              <w:rPr>
                <w:rFonts w:ascii="Arial" w:hAnsi="Arial" w:cs="Arial"/>
              </w:rPr>
              <w:t xml:space="preserve"> </w:t>
            </w:r>
            <w:r>
              <w:rPr>
                <w:rFonts w:ascii="Arial" w:hAnsi="Arial" w:cs="Arial"/>
              </w:rPr>
              <w:t>Actions guidance</w:t>
            </w:r>
            <w:r w:rsidRPr="00AB2D6D">
              <w:rPr>
                <w:rFonts w:ascii="Arial" w:hAnsi="Arial" w:cs="Arial"/>
              </w:rPr>
              <w:t xml:space="preserve"> </w:t>
            </w:r>
            <w:r w:rsidRPr="00AB2D6D">
              <w:rPr>
                <w:rFonts w:ascii="Arial" w:hAnsi="Arial" w:cs="Arial"/>
                <w:b/>
              </w:rPr>
              <w:t>Are before and after school clubs allowed to operate?</w:t>
            </w:r>
          </w:p>
          <w:p w:rsidR="00AB2D6D" w:rsidRDefault="00AB2D6D" w:rsidP="00AB2D6D">
            <w:pPr>
              <w:rPr>
                <w:rFonts w:ascii="Arial" w:hAnsi="Arial" w:cs="Arial"/>
              </w:rPr>
            </w:pPr>
            <w:r w:rsidRPr="00AB2D6D">
              <w:rPr>
                <w:rFonts w:ascii="Arial" w:hAnsi="Arial" w:cs="Arial"/>
              </w:rPr>
              <w:t>Providers which are registered with Ofsted or with a Childminder Agency which have before and after school clubs on school premises and can ensure they follow the protective measures</w:t>
            </w:r>
            <w:r>
              <w:rPr>
                <w:rFonts w:ascii="Arial" w:hAnsi="Arial" w:cs="Arial"/>
              </w:rPr>
              <w:t xml:space="preserve"> guidance, are able to </w:t>
            </w:r>
            <w:proofErr w:type="spellStart"/>
            <w:r>
              <w:rPr>
                <w:rFonts w:ascii="Arial" w:hAnsi="Arial" w:cs="Arial"/>
              </w:rPr>
              <w:t>operate.</w:t>
            </w:r>
            <w:r w:rsidRPr="00AB2D6D">
              <w:rPr>
                <w:rFonts w:ascii="Arial" w:hAnsi="Arial" w:cs="Arial"/>
              </w:rPr>
              <w:t>This</w:t>
            </w:r>
            <w:proofErr w:type="spellEnd"/>
            <w:r w:rsidRPr="00AB2D6D">
              <w:rPr>
                <w:rFonts w:ascii="Arial" w:hAnsi="Arial" w:cs="Arial"/>
              </w:rPr>
              <w:t xml:space="preserve"> is only the case for registered providers which operate on school premises. All other out of school settings are not able to reopen.</w:t>
            </w:r>
          </w:p>
          <w:p w:rsidR="00AB2D6D" w:rsidRPr="00A3067C" w:rsidRDefault="00AB2D6D" w:rsidP="00AB2D6D">
            <w:pPr>
              <w:rPr>
                <w:rFonts w:ascii="Arial" w:hAnsi="Arial" w:cs="Arial"/>
              </w:rPr>
            </w:pPr>
          </w:p>
          <w:p w:rsidR="00F871E4" w:rsidRDefault="00AB2D6D" w:rsidP="00753551">
            <w:pPr>
              <w:rPr>
                <w:rFonts w:ascii="Arial" w:hAnsi="Arial" w:cs="Arial"/>
                <w:lang w:val="en"/>
              </w:rPr>
            </w:pPr>
            <w:r w:rsidRPr="00AB2D6D">
              <w:rPr>
                <w:rFonts w:ascii="Arial" w:hAnsi="Arial" w:cs="Arial"/>
                <w:lang w:val="en"/>
              </w:rPr>
              <w:t xml:space="preserve">From 1 June, community </w:t>
            </w:r>
            <w:proofErr w:type="spellStart"/>
            <w:r w:rsidRPr="00AB2D6D">
              <w:rPr>
                <w:rFonts w:ascii="Arial" w:hAnsi="Arial" w:cs="Arial"/>
                <w:lang w:val="en"/>
              </w:rPr>
              <w:t>centres</w:t>
            </w:r>
            <w:proofErr w:type="spellEnd"/>
            <w:r w:rsidRPr="00AB2D6D">
              <w:rPr>
                <w:rFonts w:ascii="Arial" w:hAnsi="Arial" w:cs="Arial"/>
                <w:lang w:val="en"/>
              </w:rPr>
              <w:t xml:space="preserve"> or places of worship will be allowed to open for providers on the early years register which usually use those premises.</w:t>
            </w:r>
          </w:p>
          <w:p w:rsidR="00AB2D6D" w:rsidRPr="00AB2D6D" w:rsidRDefault="00AB2D6D" w:rsidP="00753551">
            <w:pPr>
              <w:rPr>
                <w:rFonts w:ascii="Arial" w:hAnsi="Arial" w:cs="Arial"/>
              </w:rPr>
            </w:pPr>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D74482" w:rsidRPr="00B35ECD" w:rsidRDefault="00B35ECD" w:rsidP="00B35ECD">
            <w:pPr>
              <w:rPr>
                <w:rFonts w:ascii="Arial" w:hAnsi="Arial" w:cs="Arial"/>
                <w:lang w:val="en"/>
              </w:rPr>
            </w:pPr>
            <w:r w:rsidRPr="00B35ECD">
              <w:rPr>
                <w:rFonts w:ascii="Arial" w:hAnsi="Arial" w:cs="Arial"/>
                <w:lang w:val="en"/>
              </w:rPr>
              <w:t xml:space="preserve">A: </w:t>
            </w:r>
            <w:r w:rsidR="00AB2D6D">
              <w:rPr>
                <w:rFonts w:ascii="Arial" w:hAnsi="Arial" w:cs="Arial"/>
                <w:lang w:val="en"/>
              </w:rPr>
              <w:t xml:space="preserve"> see above</w:t>
            </w: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19"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Default="00A141A2" w:rsidP="00A56DD5">
            <w:pPr>
              <w:rPr>
                <w:rFonts w:ascii="Arial" w:hAnsi="Arial" w:cs="Arial"/>
                <w:sz w:val="21"/>
                <w:szCs w:val="21"/>
              </w:rPr>
            </w:pPr>
            <w:r w:rsidRPr="0046047A">
              <w:rPr>
                <w:rFonts w:ascii="Arial" w:hAnsi="Arial" w:cs="Arial"/>
                <w:color w:val="000000"/>
                <w:sz w:val="21"/>
                <w:szCs w:val="21"/>
                <w:lang w:val="en"/>
              </w:rPr>
              <w:t xml:space="preserve">For </w:t>
            </w:r>
            <w:r w:rsidRPr="00A56DD5">
              <w:rPr>
                <w:rFonts w:ascii="Arial" w:hAnsi="Arial" w:cs="Arial"/>
                <w:sz w:val="21"/>
                <w:szCs w:val="21"/>
                <w:lang w:val="en"/>
              </w:rPr>
              <w:t>childminders, who work together, but live in different households, you can still attend the childminding setting as it is your place of work</w:t>
            </w:r>
            <w:r w:rsidRPr="00A56DD5">
              <w:rPr>
                <w:rFonts w:ascii="Arial" w:hAnsi="Arial" w:cs="Arial"/>
                <w:b/>
                <w:sz w:val="21"/>
                <w:szCs w:val="21"/>
                <w:lang w:val="en"/>
              </w:rPr>
              <w:t xml:space="preserve">. </w:t>
            </w:r>
            <w:r w:rsidR="00A56DD5" w:rsidRPr="00A56DD5">
              <w:rPr>
                <w:rFonts w:ascii="Arial" w:hAnsi="Arial" w:cs="Arial"/>
                <w:b/>
                <w:sz w:val="21"/>
                <w:szCs w:val="21"/>
                <w:lang w:val="en"/>
              </w:rPr>
              <w:t>Can practitioners who work in more than 1 setting continue to work across more than one.?</w:t>
            </w:r>
            <w:r w:rsidR="00A56DD5">
              <w:rPr>
                <w:rFonts w:ascii="Arial" w:hAnsi="Arial" w:cs="Arial"/>
                <w:sz w:val="21"/>
                <w:szCs w:val="21"/>
                <w:lang w:val="en"/>
              </w:rPr>
              <w:t xml:space="preserve"> </w:t>
            </w:r>
            <w:r w:rsidR="00A56DD5" w:rsidRPr="00A56DD5">
              <w:rPr>
                <w:rFonts w:ascii="Arial" w:hAnsi="Arial" w:cs="Arial"/>
                <w:sz w:val="21"/>
                <w:szCs w:val="21"/>
                <w:lang w:val="en"/>
              </w:rPr>
              <w:t xml:space="preserve">The </w:t>
            </w:r>
            <w:r w:rsidR="00924458" w:rsidRPr="00A56DD5">
              <w:rPr>
                <w:rFonts w:ascii="Arial" w:hAnsi="Arial" w:cs="Arial"/>
                <w:sz w:val="21"/>
                <w:szCs w:val="21"/>
              </w:rPr>
              <w:t>guidance&lt;</w:t>
            </w:r>
            <w:hyperlink r:id="rId20" w:history="1">
              <w:r w:rsidR="00924458" w:rsidRPr="00A56DD5">
                <w:rPr>
                  <w:rStyle w:val="Hyperlink"/>
                  <w:rFonts w:ascii="Arial" w:hAnsi="Arial" w:cs="Arial"/>
                  <w:color w:val="auto"/>
                  <w:sz w:val="21"/>
                  <w:szCs w:val="21"/>
                </w:rPr>
                <w:t>https://www.gov.uk/government/publications/preparing-for-the-wider-opening-of-early-years-and-childcare-settings-from-1-june/planning-guide-for-early-years-and-childcare-settings#Section8</w:t>
              </w:r>
            </w:hyperlink>
            <w:r w:rsidR="00924458" w:rsidRPr="00A56DD5">
              <w:rPr>
                <w:rFonts w:ascii="Arial" w:hAnsi="Arial" w:cs="Arial"/>
                <w:sz w:val="21"/>
                <w:szCs w:val="21"/>
              </w:rPr>
              <w:t xml:space="preserve">&gt; states: “As far as possible, the same members of staff should be assigned to each group and these should stay the same during the day and on subsequent days. Keep your staffing arrangements as </w:t>
            </w:r>
            <w:r w:rsidR="00924458" w:rsidRPr="00A56DD5">
              <w:rPr>
                <w:rFonts w:ascii="Arial" w:hAnsi="Arial" w:cs="Arial"/>
                <w:sz w:val="21"/>
                <w:szCs w:val="21"/>
              </w:rPr>
              <w:lastRenderedPageBreak/>
              <w:t>consistent as possible. In instances where you do need to use staff from other settings or agency staff, ensure that this is agreed on a weekly basis, not daily, to limit contacts.”</w:t>
            </w:r>
          </w:p>
          <w:p w:rsidR="00A56DD5" w:rsidRPr="00B35ECD" w:rsidRDefault="00A56DD5" w:rsidP="00A56DD5">
            <w:pPr>
              <w:rPr>
                <w:rFonts w:ascii="Arial" w:hAnsi="Arial" w:cs="Arial"/>
                <w:lang w:val="en"/>
              </w:rPr>
            </w:pPr>
          </w:p>
        </w:tc>
      </w:tr>
      <w:tr w:rsidR="00D74482" w:rsidRPr="00434079" w:rsidTr="00D74482">
        <w:tc>
          <w:tcPr>
            <w:tcW w:w="10456" w:type="dxa"/>
            <w:shd w:val="clear" w:color="auto" w:fill="EAF1DD" w:themeFill="accent3" w:themeFillTint="33"/>
          </w:tcPr>
          <w:p w:rsidR="00D74482" w:rsidRPr="00EC3853" w:rsidRDefault="00D74482" w:rsidP="00C9567A">
            <w:pPr>
              <w:rPr>
                <w:rFonts w:ascii="Arial" w:hAnsi="Arial" w:cs="Arial"/>
                <w:lang w:val="en"/>
              </w:rPr>
            </w:pPr>
            <w:r w:rsidRPr="00EC3853">
              <w:rPr>
                <w:rFonts w:ascii="Arial" w:hAnsi="Arial" w:cs="Arial"/>
                <w:lang w:val="en"/>
              </w:rPr>
              <w:lastRenderedPageBreak/>
              <w:t xml:space="preserve">Q: </w:t>
            </w:r>
            <w:r w:rsidR="00C9567A" w:rsidRPr="00EC3853">
              <w:rPr>
                <w:rFonts w:ascii="Arial" w:hAnsi="Arial" w:cs="Arial"/>
                <w:lang w:val="en"/>
              </w:rPr>
              <w:t>Can childminders pick up children in the family car?</w:t>
            </w: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If you have to travel with people outside your household 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21"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Settings will need to be aware of the additional needs of vulnerable children/ parents.</w:t>
            </w:r>
            <w:r w:rsidR="00A3067C">
              <w:rPr>
                <w:rFonts w:ascii="Arial" w:hAnsi="Arial" w:cs="Arial"/>
              </w:rPr>
              <w:t xml:space="preserve"> </w:t>
            </w:r>
            <w:r w:rsidR="00A3067C" w:rsidRPr="007B395E">
              <w:rPr>
                <w:rFonts w:ascii="Arial" w:hAnsi="Arial" w:cs="Arial"/>
                <w:b/>
              </w:rPr>
              <w:t xml:space="preserve">Childminders </w:t>
            </w:r>
            <w:r w:rsidR="00A3067C">
              <w:rPr>
                <w:rFonts w:ascii="Arial" w:hAnsi="Arial" w:cs="Arial"/>
              </w:rPr>
              <w:t xml:space="preserve">may choose to invite new parents and their child to visit at a time where there are no other cared for children present. This will be part of your risk assessment, but you will need to plan to ensure you minimise risk and employ protective measures for visits and visitors.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22"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23"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24"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w:t>
            </w:r>
            <w:r w:rsidRPr="00397179">
              <w:rPr>
                <w:rFonts w:ascii="Arial" w:hAnsi="Arial" w:cs="Arial"/>
              </w:rPr>
              <w:lastRenderedPageBreak/>
              <w:t>priority and demand-management work in respect of people and resources/ stocks [such as PPE/ hand wash/care]. 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25"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26"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lastRenderedPageBreak/>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27"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28"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FA254F" w:rsidRDefault="0028732C" w:rsidP="00687BEA">
            <w:pPr>
              <w:pStyle w:val="NormalWeb"/>
              <w:spacing w:before="0" w:beforeAutospacing="0" w:after="0" w:afterAutospacing="0" w:line="375" w:lineRule="atLeast"/>
              <w:jc w:val="center"/>
              <w:rPr>
                <w:rFonts w:ascii="Arial" w:hAnsi="Arial" w:cs="Arial"/>
                <w:i/>
                <w:color w:val="1F497D" w:themeColor="text2"/>
                <w:sz w:val="22"/>
                <w:szCs w:val="22"/>
              </w:rPr>
            </w:pPr>
            <w:r>
              <w:rPr>
                <w:rFonts w:ascii="Arial" w:hAnsi="Arial" w:cs="Arial"/>
                <w:i/>
                <w:color w:val="1F497D" w:themeColor="text2"/>
                <w:sz w:val="22"/>
                <w:szCs w:val="22"/>
              </w:rPr>
              <w:t xml:space="preserve">See actions suggested by </w:t>
            </w:r>
            <w:proofErr w:type="spellStart"/>
            <w:r>
              <w:rPr>
                <w:rFonts w:ascii="Arial" w:hAnsi="Arial" w:cs="Arial"/>
                <w:i/>
                <w:color w:val="1F497D" w:themeColor="text2"/>
                <w:sz w:val="22"/>
                <w:szCs w:val="22"/>
              </w:rPr>
              <w:t>DfE</w:t>
            </w:r>
            <w:proofErr w:type="spellEnd"/>
            <w:r w:rsidR="00687BEA" w:rsidRPr="00A65B56">
              <w:rPr>
                <w:rFonts w:ascii="Arial" w:hAnsi="Arial" w:cs="Arial"/>
                <w:i/>
                <w:color w:val="1F497D" w:themeColor="text2"/>
                <w:sz w:val="22"/>
                <w:szCs w:val="22"/>
              </w:rPr>
              <w:t xml:space="preserve"> </w:t>
            </w:r>
            <w:r w:rsidR="00781487">
              <w:rPr>
                <w:rFonts w:ascii="Arial" w:hAnsi="Arial" w:cs="Arial"/>
                <w:i/>
                <w:color w:val="1F497D" w:themeColor="text2"/>
                <w:sz w:val="22"/>
                <w:szCs w:val="22"/>
              </w:rPr>
              <w:t xml:space="preserve">in a separate </w:t>
            </w:r>
            <w:proofErr w:type="spellStart"/>
            <w:r>
              <w:rPr>
                <w:rFonts w:ascii="Arial" w:hAnsi="Arial" w:cs="Arial"/>
                <w:i/>
                <w:color w:val="1F497D" w:themeColor="text2"/>
                <w:sz w:val="22"/>
                <w:szCs w:val="22"/>
              </w:rPr>
              <w:t>solgrid</w:t>
            </w:r>
            <w:proofErr w:type="spellEnd"/>
            <w:r>
              <w:rPr>
                <w:rFonts w:ascii="Arial" w:hAnsi="Arial" w:cs="Arial"/>
                <w:i/>
                <w:color w:val="1F497D" w:themeColor="text2"/>
                <w:sz w:val="22"/>
                <w:szCs w:val="22"/>
              </w:rPr>
              <w:t xml:space="preserve"> </w:t>
            </w:r>
            <w:r w:rsidR="00781487">
              <w:rPr>
                <w:rFonts w:ascii="Arial" w:hAnsi="Arial" w:cs="Arial"/>
                <w:i/>
                <w:color w:val="1F497D" w:themeColor="text2"/>
                <w:sz w:val="22"/>
                <w:szCs w:val="22"/>
              </w:rPr>
              <w:t>document</w:t>
            </w:r>
            <w:r>
              <w:rPr>
                <w:rFonts w:ascii="Arial" w:hAnsi="Arial" w:cs="Arial"/>
                <w:i/>
                <w:color w:val="1F497D" w:themeColor="text2"/>
                <w:sz w:val="22"/>
                <w:szCs w:val="22"/>
              </w:rPr>
              <w:t>- ‘EYFS lockdown to open up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w:t>
            </w:r>
            <w:r w:rsidR="00A141A2">
              <w:rPr>
                <w:rFonts w:ascii="Arial" w:hAnsi="Arial" w:cs="Arial"/>
              </w:rPr>
              <w:t xml:space="preserve"> virtual </w:t>
            </w:r>
            <w:r w:rsidR="00F23609">
              <w:rPr>
                <w:rFonts w:ascii="Arial" w:hAnsi="Arial" w:cs="Arial"/>
              </w:rPr>
              <w:t xml:space="preserve">‘transition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r w:rsidR="00E7609C" w:rsidRPr="00434079" w:rsidTr="00B27CD4">
        <w:trPr>
          <w:trHeight w:val="70"/>
        </w:trPr>
        <w:tc>
          <w:tcPr>
            <w:tcW w:w="10456" w:type="dxa"/>
            <w:shd w:val="clear" w:color="auto" w:fill="EAF1DD" w:themeFill="accent3" w:themeFillTint="33"/>
          </w:tcPr>
          <w:p w:rsidR="00E7609C" w:rsidRPr="00E7609C" w:rsidRDefault="00E7609C" w:rsidP="00E7609C">
            <w:pPr>
              <w:rPr>
                <w:rFonts w:ascii="Arial" w:hAnsi="Arial" w:cs="Arial"/>
              </w:rPr>
            </w:pPr>
            <w:r w:rsidRPr="00E7609C">
              <w:rPr>
                <w:rFonts w:ascii="Arial" w:hAnsi="Arial" w:cs="Arial"/>
              </w:rPr>
              <w:t>Q: Can early years providers take groups of children to outdoor public places, for example if there is not private outdoor space in the setting?</w:t>
            </w:r>
          </w:p>
          <w:p w:rsidR="00E7609C" w:rsidRPr="00434079" w:rsidRDefault="00E7609C" w:rsidP="00E7609C">
            <w:pPr>
              <w:rPr>
                <w:rFonts w:ascii="Arial" w:hAnsi="Arial" w:cs="Arial"/>
              </w:rPr>
            </w:pPr>
          </w:p>
        </w:tc>
      </w:tr>
      <w:tr w:rsidR="00E7609C" w:rsidRPr="00434079" w:rsidTr="001C636D">
        <w:trPr>
          <w:trHeight w:val="70"/>
        </w:trPr>
        <w:tc>
          <w:tcPr>
            <w:tcW w:w="10456" w:type="dxa"/>
          </w:tcPr>
          <w:p w:rsidR="00B27CD4" w:rsidRPr="00B27CD4" w:rsidRDefault="00B27CD4" w:rsidP="00B27CD4">
            <w:pPr>
              <w:rPr>
                <w:rFonts w:ascii="Arial" w:hAnsi="Arial" w:cs="Arial"/>
              </w:rPr>
            </w:pPr>
            <w:r w:rsidRPr="00B27CD4">
              <w:rPr>
                <w:rFonts w:ascii="Arial" w:hAnsi="Arial" w:cs="Arial"/>
              </w:rPr>
              <w:t>A: Settings should maximise use of private outdoor space, while keeping small groups of children and staff away from other groups. Childminders and early years providers may take small groups of children to outdoor public spaces, for example parks, provided that a risk assessment demonstrates that they can stay 2m away from other people at all times. This should be restricted to small groups and should be done in line with wider government guidelines on the number of people who can meet in outdoor public places. Providers should not take larger groups of children to public outdoor spaces at one time.</w:t>
            </w:r>
          </w:p>
          <w:p w:rsidR="00E7609C" w:rsidRPr="00B27CD4" w:rsidRDefault="00B27CD4" w:rsidP="00B27CD4">
            <w:pPr>
              <w:rPr>
                <w:rFonts w:ascii="Arial" w:hAnsi="Arial" w:cs="Arial"/>
              </w:rPr>
            </w:pPr>
            <w:r w:rsidRPr="00B27CD4">
              <w:rPr>
                <w:rFonts w:ascii="Arial" w:hAnsi="Arial" w:cs="Arial"/>
              </w:rPr>
              <w:t xml:space="preserve"> </w:t>
            </w:r>
          </w:p>
        </w:tc>
      </w:tr>
    </w:tbl>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B5063" w:rsidRDefault="007B5063" w:rsidP="00541DBC">
      <w:pPr>
        <w:spacing w:after="0"/>
        <w:jc w:val="center"/>
        <w:rPr>
          <w:rFonts w:ascii="Arial" w:hAnsi="Arial" w:cs="Arial"/>
          <w:b/>
          <w:lang w:val="en"/>
        </w:rPr>
      </w:pPr>
    </w:p>
    <w:p w:rsidR="00753551" w:rsidRPr="00541DBC" w:rsidRDefault="00753551" w:rsidP="00541DBC">
      <w:pPr>
        <w:spacing w:after="0"/>
        <w:jc w:val="center"/>
        <w:rPr>
          <w:rFonts w:ascii="Arial" w:hAnsi="Arial" w:cs="Arial"/>
          <w:b/>
          <w:lang w:val="en"/>
        </w:rPr>
      </w:pPr>
      <w:bookmarkStart w:id="0" w:name="_GoBack"/>
      <w:bookmarkEnd w:id="0"/>
      <w:r w:rsidRPr="00541DBC">
        <w:rPr>
          <w:rFonts w:ascii="Arial" w:hAnsi="Arial" w:cs="Arial"/>
          <w:b/>
          <w:lang w:val="en"/>
        </w:rPr>
        <w:lastRenderedPageBreak/>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29"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0"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1"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2"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7B5063" w:rsidP="00753551">
      <w:pPr>
        <w:spacing w:after="0"/>
        <w:rPr>
          <w:rFonts w:ascii="Arial" w:hAnsi="Arial" w:cs="Arial"/>
          <w:lang w:val="en"/>
        </w:rPr>
      </w:pPr>
      <w:hyperlink r:id="rId33"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34"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5"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6"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7B5063" w:rsidP="00753551">
      <w:pPr>
        <w:spacing w:after="0"/>
        <w:rPr>
          <w:rFonts w:ascii="Arial" w:hAnsi="Arial" w:cs="Arial"/>
          <w:lang w:val="en"/>
        </w:rPr>
      </w:pPr>
      <w:hyperlink r:id="rId37"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7B5063" w:rsidP="00753551">
      <w:pPr>
        <w:spacing w:after="0"/>
        <w:rPr>
          <w:rFonts w:ascii="Arial" w:hAnsi="Arial" w:cs="Arial"/>
          <w:lang w:val="en"/>
        </w:rPr>
      </w:pPr>
      <w:hyperlink r:id="rId38"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7B5063" w:rsidP="00753551">
      <w:pPr>
        <w:spacing w:after="0"/>
        <w:rPr>
          <w:rFonts w:ascii="Arial" w:hAnsi="Arial" w:cs="Arial"/>
          <w:lang w:val="en"/>
        </w:rPr>
      </w:pPr>
      <w:hyperlink r:id="rId39"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7B5063" w:rsidP="00CF298A">
      <w:pPr>
        <w:spacing w:after="0"/>
        <w:rPr>
          <w:rFonts w:ascii="Arial" w:hAnsi="Arial" w:cs="Arial"/>
          <w:lang w:val="en"/>
        </w:rPr>
      </w:pPr>
      <w:hyperlink r:id="rId40"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7B5063" w:rsidP="00CF298A">
      <w:pPr>
        <w:spacing w:after="0"/>
        <w:rPr>
          <w:rFonts w:ascii="Arial" w:hAnsi="Arial" w:cs="Arial"/>
          <w:lang w:val="en"/>
        </w:rPr>
      </w:pPr>
      <w:hyperlink r:id="rId41"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 xml:space="preserve">Solihull Family Information Service - </w:t>
      </w:r>
      <w:hyperlink r:id="rId42"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43"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hyperlink r:id="rId44" w:history="1">
        <w:r w:rsidRPr="00434079">
          <w:rPr>
            <w:rStyle w:val="Hyperlink"/>
            <w:rFonts w:ascii="Arial" w:hAnsi="Arial" w:cs="Arial"/>
          </w:rPr>
          <w:t>http://www.solgrid.org.uk/eyc/support/</w:t>
        </w:r>
      </w:hyperlink>
    </w:p>
    <w:p w:rsidR="00781487" w:rsidRDefault="00781487" w:rsidP="00397179"/>
    <w:p w:rsidR="00781487" w:rsidRDefault="00781487" w:rsidP="00397179"/>
    <w:p w:rsidR="00397179" w:rsidRPr="00F23609" w:rsidRDefault="00397179" w:rsidP="00397179">
      <w:pPr>
        <w:rPr>
          <w:rFonts w:ascii="Arial" w:hAnsi="Arial" w:cs="Arial"/>
        </w:rPr>
      </w:pPr>
    </w:p>
    <w:sectPr w:rsidR="00397179" w:rsidRPr="00F23609" w:rsidSect="009474BD">
      <w:headerReference w:type="default" r:id="rId45"/>
      <w:footerReference w:type="default" r:id="rId46"/>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AB2D6D">
      <w:rPr>
        <w:sz w:val="20"/>
        <w:szCs w:val="20"/>
      </w:rPr>
      <w:t xml:space="preserve">accurate at </w:t>
    </w:r>
    <w:r w:rsidR="007B395E" w:rsidRPr="00AB2D6D">
      <w:rPr>
        <w:sz w:val="20"/>
        <w:szCs w:val="20"/>
      </w:rPr>
      <w:t>0</w:t>
    </w:r>
    <w:r w:rsidR="00AB2D6D" w:rsidRPr="00AB2D6D">
      <w:rPr>
        <w:sz w:val="20"/>
        <w:szCs w:val="20"/>
      </w:rPr>
      <w:t>2.</w:t>
    </w:r>
    <w:r w:rsidR="007B395E" w:rsidRPr="00AB2D6D">
      <w:rPr>
        <w:sz w:val="20"/>
        <w:szCs w:val="20"/>
      </w:rPr>
      <w:t>06</w:t>
    </w:r>
    <w:r w:rsidR="0068785E" w:rsidRPr="00AB2D6D">
      <w:rPr>
        <w:sz w:val="20"/>
        <w:szCs w:val="20"/>
      </w:rPr>
      <w:t>.</w:t>
    </w:r>
    <w:r w:rsidRPr="00AB2D6D">
      <w:rPr>
        <w:sz w:val="20"/>
        <w:szCs w:val="20"/>
      </w:rPr>
      <w:t xml:space="preserve">20. </w:t>
    </w:r>
    <w:r w:rsidRPr="0009601E">
      <w:rPr>
        <w:sz w:val="20"/>
        <w:szCs w:val="20"/>
      </w:rPr>
      <w:t>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r w:rsidR="00E7609C">
      <w:rPr>
        <w:sz w:val="20"/>
        <w:szCs w:val="20"/>
      </w:rPr>
      <w:t>/ pods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31741">
      <w:rPr>
        <w:rFonts w:ascii="Arial" w:hAnsi="Arial" w:cs="Arial"/>
      </w:rPr>
      <w:t>June</w:t>
    </w:r>
    <w:r w:rsidR="00113EF3" w:rsidRPr="00580CEE">
      <w:rPr>
        <w:rFonts w:ascii="Arial" w:hAnsi="Arial" w:cs="Arial"/>
      </w:rPr>
      <w:t xml:space="preserve"> 2020</w:t>
    </w:r>
    <w:r w:rsidR="00D74482">
      <w:rPr>
        <w:rFonts w:ascii="Arial" w:hAnsi="Arial" w:cs="Arial"/>
      </w:rPr>
      <w:t>v1</w:t>
    </w:r>
    <w:r w:rsidR="00781487">
      <w:rPr>
        <w:rFonts w:ascii="Arial" w:hAnsi="Arial" w:cs="Arial"/>
      </w:rPr>
      <w:t>2</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7843"/>
    <w:rsid w:val="001F7FD5"/>
    <w:rsid w:val="00200981"/>
    <w:rsid w:val="0021382F"/>
    <w:rsid w:val="00240CC6"/>
    <w:rsid w:val="00262B17"/>
    <w:rsid w:val="0026422F"/>
    <w:rsid w:val="0027117C"/>
    <w:rsid w:val="0027248F"/>
    <w:rsid w:val="0028732C"/>
    <w:rsid w:val="002A072E"/>
    <w:rsid w:val="002A20BC"/>
    <w:rsid w:val="002B1425"/>
    <w:rsid w:val="002C6EDB"/>
    <w:rsid w:val="002D44DF"/>
    <w:rsid w:val="002D5DC5"/>
    <w:rsid w:val="002F48CF"/>
    <w:rsid w:val="00301311"/>
    <w:rsid w:val="00311E7C"/>
    <w:rsid w:val="00312835"/>
    <w:rsid w:val="00324D12"/>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68E1"/>
    <w:rsid w:val="00420C98"/>
    <w:rsid w:val="00426F0A"/>
    <w:rsid w:val="00427040"/>
    <w:rsid w:val="00434079"/>
    <w:rsid w:val="00441C78"/>
    <w:rsid w:val="00444921"/>
    <w:rsid w:val="00447482"/>
    <w:rsid w:val="00451631"/>
    <w:rsid w:val="0046047A"/>
    <w:rsid w:val="004605F6"/>
    <w:rsid w:val="004631BB"/>
    <w:rsid w:val="0047645B"/>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6973"/>
    <w:rsid w:val="005B55A9"/>
    <w:rsid w:val="005D14A8"/>
    <w:rsid w:val="005E54C2"/>
    <w:rsid w:val="005E68A9"/>
    <w:rsid w:val="005F370F"/>
    <w:rsid w:val="00601623"/>
    <w:rsid w:val="00603639"/>
    <w:rsid w:val="00627B0E"/>
    <w:rsid w:val="0063667F"/>
    <w:rsid w:val="00654BC7"/>
    <w:rsid w:val="00654C07"/>
    <w:rsid w:val="00664E3A"/>
    <w:rsid w:val="0068684B"/>
    <w:rsid w:val="0068785E"/>
    <w:rsid w:val="00687BEA"/>
    <w:rsid w:val="00692BE6"/>
    <w:rsid w:val="006A5F58"/>
    <w:rsid w:val="006A6E2D"/>
    <w:rsid w:val="006B63E2"/>
    <w:rsid w:val="006C4AF0"/>
    <w:rsid w:val="006D097F"/>
    <w:rsid w:val="0070281D"/>
    <w:rsid w:val="00717DCD"/>
    <w:rsid w:val="0073184A"/>
    <w:rsid w:val="007323E5"/>
    <w:rsid w:val="00753551"/>
    <w:rsid w:val="00757960"/>
    <w:rsid w:val="007631F4"/>
    <w:rsid w:val="00767AD5"/>
    <w:rsid w:val="007730E4"/>
    <w:rsid w:val="007775D5"/>
    <w:rsid w:val="00781487"/>
    <w:rsid w:val="00784647"/>
    <w:rsid w:val="00786FBE"/>
    <w:rsid w:val="00787A12"/>
    <w:rsid w:val="00793F98"/>
    <w:rsid w:val="007A4F7A"/>
    <w:rsid w:val="007B395E"/>
    <w:rsid w:val="007B5063"/>
    <w:rsid w:val="007D3F96"/>
    <w:rsid w:val="007D5E95"/>
    <w:rsid w:val="007E1346"/>
    <w:rsid w:val="007E5C35"/>
    <w:rsid w:val="007E753F"/>
    <w:rsid w:val="007F069F"/>
    <w:rsid w:val="007F2AA5"/>
    <w:rsid w:val="007F4035"/>
    <w:rsid w:val="007F78D3"/>
    <w:rsid w:val="00810B94"/>
    <w:rsid w:val="008457BB"/>
    <w:rsid w:val="0084684C"/>
    <w:rsid w:val="00860866"/>
    <w:rsid w:val="0086115E"/>
    <w:rsid w:val="00862060"/>
    <w:rsid w:val="00872AF9"/>
    <w:rsid w:val="00873955"/>
    <w:rsid w:val="00883C26"/>
    <w:rsid w:val="008A3E60"/>
    <w:rsid w:val="008C4F9C"/>
    <w:rsid w:val="008D3F3C"/>
    <w:rsid w:val="008D49ED"/>
    <w:rsid w:val="008E01E9"/>
    <w:rsid w:val="008E7233"/>
    <w:rsid w:val="008E7245"/>
    <w:rsid w:val="008F0A23"/>
    <w:rsid w:val="009120C9"/>
    <w:rsid w:val="0092102C"/>
    <w:rsid w:val="00921A5D"/>
    <w:rsid w:val="00924458"/>
    <w:rsid w:val="00935856"/>
    <w:rsid w:val="00936C22"/>
    <w:rsid w:val="009474BD"/>
    <w:rsid w:val="009770A8"/>
    <w:rsid w:val="00983D90"/>
    <w:rsid w:val="00986920"/>
    <w:rsid w:val="009934B0"/>
    <w:rsid w:val="009B2663"/>
    <w:rsid w:val="009B302C"/>
    <w:rsid w:val="009E2300"/>
    <w:rsid w:val="009E6174"/>
    <w:rsid w:val="009F0DAB"/>
    <w:rsid w:val="00A02F30"/>
    <w:rsid w:val="00A0510D"/>
    <w:rsid w:val="00A141A2"/>
    <w:rsid w:val="00A1702D"/>
    <w:rsid w:val="00A17AD1"/>
    <w:rsid w:val="00A3067C"/>
    <w:rsid w:val="00A56DD5"/>
    <w:rsid w:val="00A60A44"/>
    <w:rsid w:val="00A65B56"/>
    <w:rsid w:val="00A826C4"/>
    <w:rsid w:val="00AA13A3"/>
    <w:rsid w:val="00AA2764"/>
    <w:rsid w:val="00AB2D6D"/>
    <w:rsid w:val="00AC2E77"/>
    <w:rsid w:val="00AE35B1"/>
    <w:rsid w:val="00B27CD4"/>
    <w:rsid w:val="00B354F3"/>
    <w:rsid w:val="00B35ECD"/>
    <w:rsid w:val="00B41B55"/>
    <w:rsid w:val="00B41CEE"/>
    <w:rsid w:val="00B46746"/>
    <w:rsid w:val="00B60A33"/>
    <w:rsid w:val="00B76CEF"/>
    <w:rsid w:val="00BA16E4"/>
    <w:rsid w:val="00BC1102"/>
    <w:rsid w:val="00BC206F"/>
    <w:rsid w:val="00BD368C"/>
    <w:rsid w:val="00BD529B"/>
    <w:rsid w:val="00BD7E03"/>
    <w:rsid w:val="00BE1207"/>
    <w:rsid w:val="00C074CD"/>
    <w:rsid w:val="00C12428"/>
    <w:rsid w:val="00C138E3"/>
    <w:rsid w:val="00C2709E"/>
    <w:rsid w:val="00C445D2"/>
    <w:rsid w:val="00C47C17"/>
    <w:rsid w:val="00C75C8C"/>
    <w:rsid w:val="00C77B9C"/>
    <w:rsid w:val="00C81EE3"/>
    <w:rsid w:val="00C908E5"/>
    <w:rsid w:val="00C90D16"/>
    <w:rsid w:val="00C9567A"/>
    <w:rsid w:val="00CB4B5E"/>
    <w:rsid w:val="00CD056F"/>
    <w:rsid w:val="00CD7F23"/>
    <w:rsid w:val="00CF298A"/>
    <w:rsid w:val="00D052CB"/>
    <w:rsid w:val="00D065DF"/>
    <w:rsid w:val="00D130FC"/>
    <w:rsid w:val="00D143AE"/>
    <w:rsid w:val="00D21261"/>
    <w:rsid w:val="00D2186A"/>
    <w:rsid w:val="00D31741"/>
    <w:rsid w:val="00D3239E"/>
    <w:rsid w:val="00D449A5"/>
    <w:rsid w:val="00D52967"/>
    <w:rsid w:val="00D538AB"/>
    <w:rsid w:val="00D60F51"/>
    <w:rsid w:val="00D63658"/>
    <w:rsid w:val="00D63AEF"/>
    <w:rsid w:val="00D65E52"/>
    <w:rsid w:val="00D72E6C"/>
    <w:rsid w:val="00D739A3"/>
    <w:rsid w:val="00D74482"/>
    <w:rsid w:val="00D74F3B"/>
    <w:rsid w:val="00D8203E"/>
    <w:rsid w:val="00D868CE"/>
    <w:rsid w:val="00D90806"/>
    <w:rsid w:val="00D95217"/>
    <w:rsid w:val="00DA7040"/>
    <w:rsid w:val="00DC1B64"/>
    <w:rsid w:val="00DE4F5B"/>
    <w:rsid w:val="00DF30F5"/>
    <w:rsid w:val="00DF789F"/>
    <w:rsid w:val="00E12DFA"/>
    <w:rsid w:val="00E4171D"/>
    <w:rsid w:val="00E70963"/>
    <w:rsid w:val="00E71829"/>
    <w:rsid w:val="00E7609C"/>
    <w:rsid w:val="00E8542A"/>
    <w:rsid w:val="00E94CE2"/>
    <w:rsid w:val="00E96BC0"/>
    <w:rsid w:val="00EA165F"/>
    <w:rsid w:val="00EA2C07"/>
    <w:rsid w:val="00EB23CA"/>
    <w:rsid w:val="00EC3853"/>
    <w:rsid w:val="00ED3902"/>
    <w:rsid w:val="00EF0982"/>
    <w:rsid w:val="00F01BEF"/>
    <w:rsid w:val="00F164F3"/>
    <w:rsid w:val="00F23609"/>
    <w:rsid w:val="00F23D74"/>
    <w:rsid w:val="00F2533B"/>
    <w:rsid w:val="00F26599"/>
    <w:rsid w:val="00F51E8A"/>
    <w:rsid w:val="00F57195"/>
    <w:rsid w:val="00F7062C"/>
    <w:rsid w:val="00F748D4"/>
    <w:rsid w:val="00F77565"/>
    <w:rsid w:val="00F8253E"/>
    <w:rsid w:val="00F830CE"/>
    <w:rsid w:val="00F834BE"/>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732E700"/>
  <w15:docId w15:val="{14D5BEBE-7015-429B-A695-179F236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sChild>
        <w:div w:id="1444301024">
          <w:marLeft w:val="0"/>
          <w:marRight w:val="0"/>
          <w:marTop w:val="0"/>
          <w:marBottom w:val="0"/>
          <w:divBdr>
            <w:top w:val="none" w:sz="0" w:space="0" w:color="auto"/>
            <w:left w:val="none" w:sz="0" w:space="0" w:color="auto"/>
            <w:bottom w:val="none" w:sz="0" w:space="0" w:color="auto"/>
            <w:right w:val="none" w:sz="0" w:space="0" w:color="auto"/>
          </w:divBdr>
          <w:divsChild>
            <w:div w:id="1480417893">
              <w:marLeft w:val="0"/>
              <w:marRight w:val="0"/>
              <w:marTop w:val="0"/>
              <w:marBottom w:val="0"/>
              <w:divBdr>
                <w:top w:val="none" w:sz="0" w:space="0" w:color="auto"/>
                <w:left w:val="none" w:sz="0" w:space="0" w:color="auto"/>
                <w:bottom w:val="none" w:sz="0" w:space="0" w:color="auto"/>
                <w:right w:val="none" w:sz="0" w:space="0" w:color="auto"/>
              </w:divBdr>
              <w:divsChild>
                <w:div w:id="1959530589">
                  <w:marLeft w:val="0"/>
                  <w:marRight w:val="0"/>
                  <w:marTop w:val="0"/>
                  <w:marBottom w:val="0"/>
                  <w:divBdr>
                    <w:top w:val="none" w:sz="0" w:space="0" w:color="auto"/>
                    <w:left w:val="none" w:sz="0" w:space="0" w:color="auto"/>
                    <w:bottom w:val="none" w:sz="0" w:space="0" w:color="auto"/>
                    <w:right w:val="none" w:sz="0" w:space="0" w:color="auto"/>
                  </w:divBdr>
                  <w:divsChild>
                    <w:div w:id="1511986934">
                      <w:marLeft w:val="0"/>
                      <w:marRight w:val="0"/>
                      <w:marTop w:val="0"/>
                      <w:marBottom w:val="0"/>
                      <w:divBdr>
                        <w:top w:val="none" w:sz="0" w:space="0" w:color="auto"/>
                        <w:left w:val="none" w:sz="0" w:space="0" w:color="auto"/>
                        <w:bottom w:val="none" w:sz="0" w:space="0" w:color="auto"/>
                        <w:right w:val="none" w:sz="0" w:space="0" w:color="auto"/>
                      </w:divBdr>
                      <w:divsChild>
                        <w:div w:id="1631864466">
                          <w:marLeft w:val="0"/>
                          <w:marRight w:val="0"/>
                          <w:marTop w:val="0"/>
                          <w:marBottom w:val="0"/>
                          <w:divBdr>
                            <w:top w:val="none" w:sz="0" w:space="0" w:color="auto"/>
                            <w:left w:val="none" w:sz="0" w:space="0" w:color="auto"/>
                            <w:bottom w:val="none" w:sz="0" w:space="0" w:color="auto"/>
                            <w:right w:val="none" w:sz="0" w:space="0" w:color="auto"/>
                          </w:divBdr>
                          <w:divsChild>
                            <w:div w:id="489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ationyears.org.uk/category/news/" TargetMode="External"/><Relationship Id="rId13" Type="http://schemas.openxmlformats.org/officeDocument/2006/relationships/hyperlink" Target="https://www.gov.uk/government/publications/preparing-for-the-wider-opening-of-early-years-and-childcare-settings-from-1-june/planning-guide-for-early-years-and-childcare-settings" TargetMode="External"/><Relationship Id="rId18" Type="http://schemas.openxmlformats.org/officeDocument/2006/relationships/hyperlink" Target="https://www.pacey.org.uk/working-in-childcare/spotlight-on/coronavirus/reopening-settings-coronavirus/" TargetMode="External"/><Relationship Id="rId26" Type="http://schemas.openxmlformats.org/officeDocument/2006/relationships/hyperlink" Target="https://emergingminds.org.uk/co-space-study-1st-update/" TargetMode="External"/><Relationship Id="rId39" Type="http://schemas.openxmlformats.org/officeDocument/2006/relationships/hyperlink" Target="https://www.solihull.gov.uk/Resident/socialservicesandhealth/Coronavirus" TargetMode="External"/><Relationship Id="rId3" Type="http://schemas.openxmlformats.org/officeDocument/2006/relationships/styles" Target="styles.xml"/><Relationship Id="rId21" Type="http://schemas.openxmlformats.org/officeDocument/2006/relationships/hyperlink" Target="https://www.babcockprime.co.uk/improving-schools-and-settings/early-years/early-years-inclusion/a-z-of-inclusion-resources/t-inclusion-resources" TargetMode="External"/><Relationship Id="rId34" Type="http://schemas.openxmlformats.org/officeDocument/2006/relationships/hyperlink" Target="https://www.gbslepgrowthhub.co.uk/business-advice/coronavirus" TargetMode="External"/><Relationship Id="rId42" Type="http://schemas.openxmlformats.org/officeDocument/2006/relationships/hyperlink" Target="http://www.solgrid.org.uk/eyc/ee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hyperlink" Target="https://surveys.phe.org.uk/TakeSurvey.aspx?SurveyID=n4KL97m2I" TargetMode="External"/><Relationship Id="rId25" Type="http://schemas.openxmlformats.org/officeDocument/2006/relationships/hyperlink" Target="https://www.unicef.org.uk/coronavirus-children-in-lockdown/" TargetMode="External"/><Relationship Id="rId33" Type="http://schemas.openxmlformats.org/officeDocument/2006/relationships/hyperlink" Target="https://foundationyears.org.uk/category/news/" TargetMode="External"/><Relationship Id="rId38" Type="http://schemas.openxmlformats.org/officeDocument/2006/relationships/hyperlink" Target="https://www.gov.uk/government/publications/closure-of-educational-settings-information-for-parents-and-carer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ucationsafeguarding@solihull.gov.uk" TargetMode="External"/><Relationship Id="rId20" Type="http://schemas.openxmlformats.org/officeDocument/2006/relationships/hyperlink" Target="https://protect-eu.mimecast.com/s/tTi-Cz6K4cRkKoktXXZHB?domain=gov.uk" TargetMode="External"/><Relationship Id="rId29" Type="http://schemas.openxmlformats.org/officeDocument/2006/relationships/hyperlink" Target="http://www.solgrid.org.uk/eyc" TargetMode="External"/><Relationship Id="rId41" Type="http://schemas.openxmlformats.org/officeDocument/2006/relationships/hyperlink" Target="https://www.eyalliance.org.uk/nurseries-childminders-reopen-after-coronavirus-lockdow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nP1nCZ8VGcMNzo1iKhkqM?domain=gov.uk" TargetMode="External"/><Relationship Id="rId24" Type="http://schemas.openxmlformats.org/officeDocument/2006/relationships/hyperlink" Target="https://www.gov.uk/government/publications/managing-school-premises-during-the-coronavirus-outbreak" TargetMode="External"/><Relationship Id="rId32" Type="http://schemas.openxmlformats.org/officeDocument/2006/relationships/hyperlink" Target="https://www.gov.uk/business-coronavirus-support-finder" TargetMode="External"/><Relationship Id="rId37" Type="http://schemas.openxmlformats.org/officeDocument/2006/relationships/hyperlink" Target="https://www.gov.uk/guidance/help-children-aged-2-to-4-to-learn-at-home-during-coronavirus-covid-19" TargetMode="External"/><Relationship Id="rId40" Type="http://schemas.openxmlformats.org/officeDocument/2006/relationships/hyperlink" Target="https://famly.co/blog/covid-19/denmark-reopening-child-care-coron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urveymonkey.co.uk/r/EYCOVID-19" TargetMode="External"/><Relationship Id="rId23" Type="http://schemas.openxmlformats.org/officeDocument/2006/relationships/hyperlink" Target="https://socialsolihull.org.uk/localoffer/education/children-and-young-peoples-send-service/early-years-send-team-2/early-years-advice-sheets/" TargetMode="External"/><Relationship Id="rId28" Type="http://schemas.openxmlformats.org/officeDocument/2006/relationships/hyperlink" Target="http://www.ncb.org.uk/resources-publications/listening-way-life-why-how-we-listen-young-children" TargetMode="External"/><Relationship Id="rId36" Type="http://schemas.openxmlformats.org/officeDocument/2006/relationships/hyperlink" Target="https://www.solihull.gov.uk/Resident/socialservicesandhealth/childrenfamilies/fis/parentingsupport" TargetMode="External"/><Relationship Id="rId10" Type="http://schemas.openxmlformats.org/officeDocument/2006/relationships/hyperlink" Target="mailto:eyenquiries@solihull.gov.uk" TargetMode="External"/><Relationship Id="rId19" Type="http://schemas.openxmlformats.org/officeDocument/2006/relationships/hyperlink" Target="https://www.gov.uk/government/publications/coronavirus-covid-19-send-risk-assessment-guidance/coronavirus-covid-19-send-risk-assessment-guidance" TargetMode="External"/><Relationship Id="rId31" Type="http://schemas.openxmlformats.org/officeDocument/2006/relationships/hyperlink" Target="https://www.gov.uk/guidance/ofsted-coronavirus-covid-19-rolling-update" TargetMode="External"/><Relationship Id="rId44" Type="http://schemas.openxmlformats.org/officeDocument/2006/relationships/hyperlink" Target="http://www.solgrid.org.uk/eyc/support/"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coronavirus-covid-19-early-years-and-childcare-closures/coronavirus-covid-19-early-years-and-childcare-closures" TargetMode="External"/><Relationship Id="rId22" Type="http://schemas.openxmlformats.org/officeDocument/2006/relationships/hyperlink" Target="http://evolutionaryparenting.com/daycare-and-cortisol-levels-what-does-this-tell-us/" TargetMode="External"/><Relationship Id="rId27" Type="http://schemas.openxmlformats.org/officeDocument/2006/relationships/hyperlink" Target="https://parentingfromscratch.wordpress.com/2014/08/11/behavior-is-an-iceberg/"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collections/coronavirus-covid-19-guidance-for-schools-and-other-educational-settings" TargetMode="External"/><Relationship Id="rId43" Type="http://schemas.openxmlformats.org/officeDocument/2006/relationships/hyperlink" Target="https://socialsolihull.org.uk/localoffer/education/children-and-young-peoples-send-service/early-years-send-team-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4206-8A11-40DF-8871-2D84DA04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2</cp:revision>
  <cp:lastPrinted>2020-05-12T12:13:00Z</cp:lastPrinted>
  <dcterms:created xsi:type="dcterms:W3CDTF">2020-06-02T13:57:00Z</dcterms:created>
  <dcterms:modified xsi:type="dcterms:W3CDTF">2020-06-02T13:57:00Z</dcterms:modified>
</cp:coreProperties>
</file>