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7CEE9" w14:textId="75F6215D" w:rsidR="00AF28C7" w:rsidRDefault="00AF28C7" w:rsidP="00E14B3B">
      <w:pPr>
        <w:pStyle w:val="Logos"/>
        <w:tabs>
          <w:tab w:val="right" w:pos="9498"/>
        </w:tabs>
      </w:pPr>
      <w:bookmarkStart w:id="0" w:name="_GoBack"/>
      <w:bookmarkEnd w:id="0"/>
      <w:r>
        <w:drawing>
          <wp:inline distT="0" distB="0" distL="0" distR="0" wp14:anchorId="0C41B666" wp14:editId="1520DA3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666E8740" w14:textId="33380D08" w:rsidR="009F41B6" w:rsidRDefault="00BE5ED1" w:rsidP="00E14B3B">
      <w:pPr>
        <w:pStyle w:val="TitleText"/>
      </w:pPr>
      <w:r>
        <w:t xml:space="preserve">30 Hours Delivery Support Fund </w:t>
      </w:r>
    </w:p>
    <w:p w14:paraId="3947A141" w14:textId="6BF838E7" w:rsidR="009F41B6" w:rsidRDefault="00BE5ED1" w:rsidP="00E14B3B">
      <w:pPr>
        <w:pStyle w:val="SubtitleText"/>
      </w:pPr>
      <w:r>
        <w:t>Guidance document</w:t>
      </w:r>
    </w:p>
    <w:p w14:paraId="0E849C85" w14:textId="1C167111" w:rsidR="009F41B6" w:rsidRDefault="00BE5ED1" w:rsidP="00E14B3B">
      <w:pPr>
        <w:pStyle w:val="Date"/>
      </w:pPr>
      <w:r>
        <w:t>November 2017</w:t>
      </w:r>
    </w:p>
    <w:p w14:paraId="23FC55B8" w14:textId="36B41B66" w:rsidR="007C56C5" w:rsidRDefault="007C56C5" w:rsidP="00E14B3B">
      <w:pPr>
        <w:jc w:val="both"/>
      </w:pPr>
    </w:p>
    <w:p w14:paraId="368BDFC3" w14:textId="397F0C01" w:rsidR="007C56C5" w:rsidRDefault="007C56C5" w:rsidP="00E14B3B">
      <w:pPr>
        <w:jc w:val="both"/>
      </w:pPr>
    </w:p>
    <w:p w14:paraId="59FC565B" w14:textId="2DBF38CD" w:rsidR="007C56C5" w:rsidRDefault="007C56C5" w:rsidP="00E14B3B">
      <w:pPr>
        <w:spacing w:after="0" w:line="240" w:lineRule="auto"/>
        <w:jc w:val="both"/>
      </w:pPr>
      <w:r>
        <w:br w:type="page"/>
      </w:r>
    </w:p>
    <w:p w14:paraId="28118A2B" w14:textId="564B6FDF" w:rsidR="007C56C5" w:rsidRDefault="007C56C5" w:rsidP="00E14B3B">
      <w:pPr>
        <w:pStyle w:val="Heading1"/>
        <w:ind w:firstLine="360"/>
        <w:jc w:val="both"/>
      </w:pPr>
      <w:r>
        <w:lastRenderedPageBreak/>
        <w:t xml:space="preserve">Contents </w:t>
      </w:r>
    </w:p>
    <w:p w14:paraId="270FA56A" w14:textId="2E3B8677" w:rsidR="007C56C5" w:rsidRPr="007C56C5" w:rsidRDefault="007C56C5" w:rsidP="00E14B3B">
      <w:pPr>
        <w:jc w:val="both"/>
      </w:pPr>
    </w:p>
    <w:p w14:paraId="09A53EC4" w14:textId="4D99D5EE" w:rsidR="007C56C5" w:rsidRDefault="007C56C5" w:rsidP="00E14B3B">
      <w:pPr>
        <w:pStyle w:val="ListParagraph"/>
        <w:numPr>
          <w:ilvl w:val="0"/>
          <w:numId w:val="46"/>
        </w:numPr>
        <w:jc w:val="both"/>
        <w:rPr>
          <w:color w:val="auto"/>
        </w:rPr>
      </w:pPr>
      <w:r w:rsidRPr="009667B9">
        <w:rPr>
          <w:b/>
          <w:color w:val="auto"/>
        </w:rPr>
        <w:t xml:space="preserve">Background </w:t>
      </w:r>
      <w:r w:rsidRPr="009667B9">
        <w:rPr>
          <w:b/>
          <w:color w:val="auto"/>
        </w:rPr>
        <w:tab/>
      </w:r>
      <w:r w:rsidRPr="007C56C5">
        <w:rPr>
          <w:b/>
          <w:color w:val="auto"/>
        </w:rPr>
        <w:tab/>
      </w:r>
      <w:r w:rsidRPr="007C56C5">
        <w:rPr>
          <w:color w:val="auto"/>
        </w:rPr>
        <w:tab/>
      </w:r>
      <w:r w:rsidRPr="007C56C5">
        <w:rPr>
          <w:color w:val="auto"/>
        </w:rPr>
        <w:tab/>
      </w:r>
      <w:r w:rsidRPr="007C56C5">
        <w:rPr>
          <w:color w:val="auto"/>
        </w:rPr>
        <w:tab/>
      </w:r>
      <w:r w:rsidRPr="007C56C5">
        <w:rPr>
          <w:color w:val="auto"/>
        </w:rPr>
        <w:tab/>
      </w:r>
      <w:r w:rsidRPr="007C56C5">
        <w:rPr>
          <w:color w:val="auto"/>
        </w:rPr>
        <w:tab/>
      </w:r>
      <w:r w:rsidRPr="007C56C5">
        <w:rPr>
          <w:color w:val="auto"/>
        </w:rPr>
        <w:tab/>
        <w:t>3</w:t>
      </w:r>
    </w:p>
    <w:p w14:paraId="1D628EFC" w14:textId="71A9106B" w:rsidR="007C56C5" w:rsidRDefault="007C56C5" w:rsidP="00E14B3B">
      <w:pPr>
        <w:ind w:left="1080" w:hanging="360"/>
        <w:jc w:val="both"/>
        <w:rPr>
          <w:color w:val="auto"/>
        </w:rPr>
      </w:pPr>
      <w:r>
        <w:rPr>
          <w:color w:val="auto"/>
        </w:rPr>
        <w:t>1a) 30 hours free childcare</w:t>
      </w:r>
      <w:r>
        <w:rPr>
          <w:color w:val="auto"/>
        </w:rPr>
        <w:tab/>
      </w:r>
      <w:r>
        <w:rPr>
          <w:color w:val="auto"/>
        </w:rPr>
        <w:tab/>
      </w:r>
      <w:r>
        <w:rPr>
          <w:color w:val="auto"/>
        </w:rPr>
        <w:tab/>
      </w:r>
      <w:r>
        <w:rPr>
          <w:color w:val="auto"/>
        </w:rPr>
        <w:tab/>
      </w:r>
      <w:r>
        <w:rPr>
          <w:color w:val="auto"/>
        </w:rPr>
        <w:tab/>
      </w:r>
      <w:r>
        <w:rPr>
          <w:color w:val="auto"/>
        </w:rPr>
        <w:tab/>
      </w:r>
      <w:r>
        <w:rPr>
          <w:color w:val="auto"/>
        </w:rPr>
        <w:tab/>
        <w:t>3</w:t>
      </w:r>
    </w:p>
    <w:p w14:paraId="10D2FC9E" w14:textId="7DD8658B" w:rsidR="007C56C5" w:rsidRDefault="007C56C5" w:rsidP="00E14B3B">
      <w:pPr>
        <w:ind w:left="1080" w:hanging="360"/>
        <w:jc w:val="both"/>
        <w:rPr>
          <w:color w:val="auto"/>
        </w:rPr>
      </w:pPr>
      <w:r>
        <w:rPr>
          <w:color w:val="auto"/>
        </w:rPr>
        <w:t xml:space="preserve">1b) Progress so far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3</w:t>
      </w:r>
    </w:p>
    <w:p w14:paraId="71BC90EF" w14:textId="633191D6" w:rsidR="007C56C5" w:rsidRPr="007C56C5" w:rsidRDefault="007C56C5" w:rsidP="00E14B3B">
      <w:pPr>
        <w:pStyle w:val="ListParagraph"/>
        <w:numPr>
          <w:ilvl w:val="0"/>
          <w:numId w:val="46"/>
        </w:numPr>
        <w:jc w:val="both"/>
        <w:rPr>
          <w:color w:val="auto"/>
        </w:rPr>
      </w:pPr>
      <w:r w:rsidRPr="009667B9">
        <w:rPr>
          <w:b/>
          <w:color w:val="auto"/>
        </w:rPr>
        <w:t>The Delivery Support Fund</w:t>
      </w:r>
      <w:r w:rsidRPr="007C56C5">
        <w:rPr>
          <w:color w:val="auto"/>
        </w:rPr>
        <w:t xml:space="preserve"> </w:t>
      </w:r>
      <w:r w:rsidRPr="007C56C5">
        <w:rPr>
          <w:color w:val="auto"/>
        </w:rPr>
        <w:tab/>
      </w:r>
      <w:r w:rsidRPr="007C56C5">
        <w:rPr>
          <w:color w:val="auto"/>
        </w:rPr>
        <w:tab/>
      </w:r>
      <w:r w:rsidRPr="007C56C5">
        <w:rPr>
          <w:color w:val="auto"/>
        </w:rPr>
        <w:tab/>
      </w:r>
      <w:r w:rsidRPr="007C56C5">
        <w:rPr>
          <w:color w:val="auto"/>
        </w:rPr>
        <w:tab/>
      </w:r>
      <w:r w:rsidRPr="007C56C5">
        <w:rPr>
          <w:color w:val="auto"/>
        </w:rPr>
        <w:tab/>
      </w:r>
      <w:r w:rsidRPr="007C56C5">
        <w:rPr>
          <w:color w:val="auto"/>
        </w:rPr>
        <w:tab/>
        <w:t>4</w:t>
      </w:r>
    </w:p>
    <w:p w14:paraId="7FB4A491" w14:textId="77777777" w:rsidR="007C56C5" w:rsidRPr="009667B9" w:rsidRDefault="007C56C5" w:rsidP="00E14B3B">
      <w:pPr>
        <w:pStyle w:val="ListParagraph"/>
        <w:numPr>
          <w:ilvl w:val="0"/>
          <w:numId w:val="0"/>
        </w:numPr>
        <w:ind w:left="720"/>
        <w:jc w:val="both"/>
        <w:rPr>
          <w:b/>
          <w:color w:val="auto"/>
        </w:rPr>
      </w:pPr>
    </w:p>
    <w:p w14:paraId="5B559D06" w14:textId="6EE8DC9F" w:rsidR="007C56C5" w:rsidRPr="007C56C5" w:rsidRDefault="007C56C5" w:rsidP="00E14B3B">
      <w:pPr>
        <w:pStyle w:val="ListParagraph"/>
        <w:numPr>
          <w:ilvl w:val="0"/>
          <w:numId w:val="46"/>
        </w:numPr>
        <w:jc w:val="both"/>
        <w:rPr>
          <w:color w:val="auto"/>
        </w:rPr>
      </w:pPr>
      <w:r w:rsidRPr="009667B9">
        <w:rPr>
          <w:b/>
          <w:color w:val="auto"/>
        </w:rPr>
        <w:t>Funding and Eligibility</w:t>
      </w:r>
      <w:r w:rsidRPr="007C56C5">
        <w:rPr>
          <w:color w:val="auto"/>
        </w:rPr>
        <w:t xml:space="preserve"> </w:t>
      </w:r>
      <w:r w:rsidRPr="007C56C5">
        <w:rPr>
          <w:color w:val="auto"/>
        </w:rPr>
        <w:tab/>
      </w:r>
      <w:r>
        <w:rPr>
          <w:b/>
          <w:color w:val="auto"/>
        </w:rPr>
        <w:tab/>
      </w:r>
      <w:r>
        <w:rPr>
          <w:b/>
          <w:color w:val="auto"/>
        </w:rPr>
        <w:tab/>
      </w:r>
      <w:r>
        <w:rPr>
          <w:b/>
          <w:color w:val="auto"/>
        </w:rPr>
        <w:tab/>
      </w:r>
      <w:r>
        <w:rPr>
          <w:b/>
          <w:color w:val="auto"/>
        </w:rPr>
        <w:tab/>
      </w:r>
      <w:r>
        <w:rPr>
          <w:b/>
          <w:color w:val="auto"/>
        </w:rPr>
        <w:tab/>
      </w:r>
      <w:r>
        <w:rPr>
          <w:b/>
          <w:color w:val="auto"/>
        </w:rPr>
        <w:tab/>
      </w:r>
      <w:r w:rsidRPr="007C56C5">
        <w:rPr>
          <w:color w:val="auto"/>
        </w:rPr>
        <w:t>5</w:t>
      </w:r>
    </w:p>
    <w:p w14:paraId="1EA7F8F0" w14:textId="2F9C3A33" w:rsidR="007C56C5" w:rsidRDefault="007C56C5" w:rsidP="00E14B3B">
      <w:pPr>
        <w:ind w:firstLine="720"/>
        <w:jc w:val="both"/>
        <w:rPr>
          <w:color w:val="auto"/>
        </w:rPr>
      </w:pPr>
      <w:r>
        <w:rPr>
          <w:color w:val="auto"/>
        </w:rPr>
        <w:t xml:space="preserve">3a) </w:t>
      </w:r>
      <w:r w:rsidR="009667B9">
        <w:rPr>
          <w:color w:val="auto"/>
        </w:rPr>
        <w:t>Available f</w:t>
      </w:r>
      <w:r>
        <w:rPr>
          <w:color w:val="auto"/>
        </w:rPr>
        <w:t xml:space="preserve">unding </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5 </w:t>
      </w:r>
    </w:p>
    <w:p w14:paraId="05B0BAA7" w14:textId="15B96EE5" w:rsidR="007C56C5" w:rsidRDefault="007C56C5" w:rsidP="00E14B3B">
      <w:pPr>
        <w:ind w:firstLine="720"/>
        <w:jc w:val="both"/>
        <w:rPr>
          <w:color w:val="auto"/>
        </w:rPr>
      </w:pPr>
      <w:r>
        <w:rPr>
          <w:color w:val="auto"/>
        </w:rPr>
        <w:t xml:space="preserve">3b) Eligibility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5 </w:t>
      </w:r>
    </w:p>
    <w:p w14:paraId="05E01592" w14:textId="0130A5AD" w:rsidR="007C56C5" w:rsidRDefault="009667B9" w:rsidP="00E14B3B">
      <w:pPr>
        <w:ind w:firstLine="720"/>
        <w:jc w:val="both"/>
        <w:rPr>
          <w:color w:val="auto"/>
        </w:rPr>
      </w:pPr>
      <w:r>
        <w:rPr>
          <w:color w:val="auto"/>
        </w:rPr>
        <w:t xml:space="preserve">3c) Example projects </w:t>
      </w:r>
      <w:r>
        <w:rPr>
          <w:color w:val="auto"/>
        </w:rPr>
        <w:tab/>
      </w:r>
      <w:r>
        <w:rPr>
          <w:color w:val="auto"/>
        </w:rPr>
        <w:tab/>
      </w:r>
      <w:r>
        <w:rPr>
          <w:color w:val="auto"/>
        </w:rPr>
        <w:tab/>
      </w:r>
      <w:r>
        <w:rPr>
          <w:color w:val="auto"/>
        </w:rPr>
        <w:tab/>
      </w:r>
      <w:r>
        <w:rPr>
          <w:color w:val="auto"/>
        </w:rPr>
        <w:tab/>
      </w:r>
      <w:r>
        <w:rPr>
          <w:color w:val="auto"/>
        </w:rPr>
        <w:tab/>
      </w:r>
      <w:r>
        <w:rPr>
          <w:color w:val="auto"/>
        </w:rPr>
        <w:tab/>
        <w:t>6</w:t>
      </w:r>
    </w:p>
    <w:p w14:paraId="4250967E" w14:textId="402A16CB" w:rsidR="009667B9" w:rsidRDefault="009667B9" w:rsidP="00E14B3B">
      <w:pPr>
        <w:ind w:firstLine="720"/>
        <w:jc w:val="both"/>
        <w:rPr>
          <w:color w:val="auto"/>
        </w:rPr>
      </w:pPr>
      <w:r>
        <w:rPr>
          <w:color w:val="auto"/>
        </w:rPr>
        <w:t xml:space="preserve">3d) What is not eligible? </w:t>
      </w:r>
      <w:r>
        <w:rPr>
          <w:color w:val="auto"/>
        </w:rPr>
        <w:tab/>
      </w:r>
      <w:r>
        <w:rPr>
          <w:color w:val="auto"/>
        </w:rPr>
        <w:tab/>
      </w:r>
      <w:r>
        <w:rPr>
          <w:color w:val="auto"/>
        </w:rPr>
        <w:tab/>
      </w:r>
      <w:r>
        <w:rPr>
          <w:color w:val="auto"/>
        </w:rPr>
        <w:tab/>
      </w:r>
      <w:r>
        <w:rPr>
          <w:color w:val="auto"/>
        </w:rPr>
        <w:tab/>
      </w:r>
      <w:r>
        <w:rPr>
          <w:color w:val="auto"/>
        </w:rPr>
        <w:tab/>
      </w:r>
      <w:r>
        <w:rPr>
          <w:color w:val="auto"/>
        </w:rPr>
        <w:tab/>
        <w:t>8</w:t>
      </w:r>
    </w:p>
    <w:p w14:paraId="29B94D7A" w14:textId="1A8674A9" w:rsidR="009667B9" w:rsidRDefault="009667B9" w:rsidP="00E14B3B">
      <w:pPr>
        <w:ind w:firstLine="720"/>
        <w:jc w:val="both"/>
        <w:rPr>
          <w:color w:val="auto"/>
        </w:rPr>
      </w:pPr>
      <w:r>
        <w:rPr>
          <w:color w:val="auto"/>
        </w:rPr>
        <w:t xml:space="preserve">3e) Reporting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8</w:t>
      </w:r>
    </w:p>
    <w:p w14:paraId="33362793" w14:textId="263F76FE" w:rsidR="009667B9" w:rsidRDefault="009667B9" w:rsidP="00E14B3B">
      <w:pPr>
        <w:pStyle w:val="ListParagraph"/>
        <w:numPr>
          <w:ilvl w:val="0"/>
          <w:numId w:val="46"/>
        </w:numPr>
        <w:jc w:val="both"/>
        <w:rPr>
          <w:color w:val="auto"/>
        </w:rPr>
      </w:pPr>
      <w:r w:rsidRPr="009667B9">
        <w:rPr>
          <w:b/>
          <w:color w:val="auto"/>
        </w:rPr>
        <w:t xml:space="preserve">Application process </w:t>
      </w:r>
      <w:r w:rsidRPr="009667B9">
        <w:rPr>
          <w:b/>
          <w:color w:val="auto"/>
        </w:rPr>
        <w:tab/>
      </w:r>
      <w:r>
        <w:rPr>
          <w:color w:val="auto"/>
        </w:rPr>
        <w:tab/>
      </w:r>
      <w:r>
        <w:rPr>
          <w:color w:val="auto"/>
        </w:rPr>
        <w:tab/>
      </w:r>
      <w:r>
        <w:rPr>
          <w:color w:val="auto"/>
        </w:rPr>
        <w:tab/>
      </w:r>
      <w:r>
        <w:rPr>
          <w:color w:val="auto"/>
        </w:rPr>
        <w:tab/>
      </w:r>
      <w:r>
        <w:rPr>
          <w:color w:val="auto"/>
        </w:rPr>
        <w:tab/>
      </w:r>
      <w:r>
        <w:rPr>
          <w:color w:val="auto"/>
        </w:rPr>
        <w:tab/>
      </w:r>
      <w:r w:rsidR="000E179B">
        <w:rPr>
          <w:color w:val="auto"/>
        </w:rPr>
        <w:t>10</w:t>
      </w:r>
    </w:p>
    <w:p w14:paraId="0004E7D4" w14:textId="65AB61B7" w:rsidR="009667B9" w:rsidRDefault="009667B9" w:rsidP="00E14B3B">
      <w:pPr>
        <w:ind w:left="720"/>
        <w:jc w:val="both"/>
        <w:rPr>
          <w:color w:val="auto"/>
        </w:rPr>
      </w:pPr>
      <w:r>
        <w:rPr>
          <w:color w:val="auto"/>
        </w:rPr>
        <w:t xml:space="preserve">4a) How to apply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0E179B">
        <w:rPr>
          <w:color w:val="auto"/>
        </w:rPr>
        <w:t>10</w:t>
      </w:r>
    </w:p>
    <w:p w14:paraId="1823C9B4" w14:textId="4C609720" w:rsidR="009667B9" w:rsidRDefault="009667B9" w:rsidP="00E14B3B">
      <w:pPr>
        <w:ind w:left="720"/>
        <w:jc w:val="both"/>
        <w:rPr>
          <w:color w:val="auto"/>
        </w:rPr>
      </w:pPr>
      <w:r>
        <w:rPr>
          <w:color w:val="auto"/>
        </w:rPr>
        <w:t xml:space="preserve">4b) Queries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0E179B">
        <w:rPr>
          <w:color w:val="auto"/>
        </w:rPr>
        <w:t>10</w:t>
      </w:r>
    </w:p>
    <w:p w14:paraId="7B59EBEC" w14:textId="76ADBF79" w:rsidR="009667B9" w:rsidRDefault="009667B9" w:rsidP="00E14B3B">
      <w:pPr>
        <w:ind w:left="720"/>
        <w:jc w:val="both"/>
        <w:rPr>
          <w:color w:val="auto"/>
        </w:rPr>
      </w:pPr>
      <w:r>
        <w:rPr>
          <w:color w:val="auto"/>
        </w:rPr>
        <w:t xml:space="preserve">4c) Submitting your application </w:t>
      </w:r>
      <w:r>
        <w:rPr>
          <w:color w:val="auto"/>
        </w:rPr>
        <w:tab/>
      </w:r>
      <w:r>
        <w:rPr>
          <w:color w:val="auto"/>
        </w:rPr>
        <w:tab/>
      </w:r>
      <w:r>
        <w:rPr>
          <w:color w:val="auto"/>
        </w:rPr>
        <w:tab/>
      </w:r>
      <w:r>
        <w:rPr>
          <w:color w:val="auto"/>
        </w:rPr>
        <w:tab/>
      </w:r>
      <w:r>
        <w:rPr>
          <w:color w:val="auto"/>
        </w:rPr>
        <w:tab/>
      </w:r>
      <w:r>
        <w:rPr>
          <w:color w:val="auto"/>
        </w:rPr>
        <w:tab/>
      </w:r>
      <w:r w:rsidR="000E179B">
        <w:rPr>
          <w:color w:val="auto"/>
        </w:rPr>
        <w:t>10</w:t>
      </w:r>
    </w:p>
    <w:p w14:paraId="3FB3A2BD" w14:textId="36DA1164" w:rsidR="009667B9" w:rsidRDefault="009667B9" w:rsidP="00E14B3B">
      <w:pPr>
        <w:ind w:left="720"/>
        <w:jc w:val="both"/>
        <w:rPr>
          <w:color w:val="auto"/>
        </w:rPr>
      </w:pPr>
      <w:r>
        <w:rPr>
          <w:color w:val="auto"/>
        </w:rPr>
        <w:t xml:space="preserve">4d) Application form </w:t>
      </w:r>
      <w:r>
        <w:rPr>
          <w:color w:val="auto"/>
        </w:rPr>
        <w:tab/>
      </w:r>
      <w:r>
        <w:rPr>
          <w:color w:val="auto"/>
        </w:rPr>
        <w:tab/>
      </w:r>
      <w:r>
        <w:rPr>
          <w:color w:val="auto"/>
        </w:rPr>
        <w:tab/>
      </w:r>
      <w:r>
        <w:rPr>
          <w:color w:val="auto"/>
        </w:rPr>
        <w:tab/>
      </w:r>
      <w:r>
        <w:rPr>
          <w:color w:val="auto"/>
        </w:rPr>
        <w:tab/>
      </w:r>
      <w:r>
        <w:rPr>
          <w:color w:val="auto"/>
        </w:rPr>
        <w:tab/>
      </w:r>
      <w:r>
        <w:rPr>
          <w:color w:val="auto"/>
        </w:rPr>
        <w:tab/>
      </w:r>
      <w:r w:rsidR="000E179B">
        <w:rPr>
          <w:color w:val="auto"/>
        </w:rPr>
        <w:t>10</w:t>
      </w:r>
    </w:p>
    <w:p w14:paraId="3E2B3877" w14:textId="7822CD34" w:rsidR="009667B9" w:rsidRDefault="009667B9" w:rsidP="00E14B3B">
      <w:pPr>
        <w:pStyle w:val="ListParagraph"/>
        <w:numPr>
          <w:ilvl w:val="0"/>
          <w:numId w:val="46"/>
        </w:numPr>
        <w:jc w:val="both"/>
        <w:rPr>
          <w:color w:val="auto"/>
        </w:rPr>
      </w:pPr>
      <w:r w:rsidRPr="009667B9">
        <w:rPr>
          <w:b/>
          <w:color w:val="auto"/>
        </w:rPr>
        <w:t xml:space="preserve">Assessing the Application </w:t>
      </w:r>
      <w:r w:rsidRPr="009667B9">
        <w:rPr>
          <w:b/>
          <w:color w:val="auto"/>
        </w:rPr>
        <w:tab/>
      </w:r>
      <w:r>
        <w:rPr>
          <w:color w:val="auto"/>
        </w:rPr>
        <w:tab/>
      </w:r>
      <w:r>
        <w:rPr>
          <w:color w:val="auto"/>
        </w:rPr>
        <w:tab/>
      </w:r>
      <w:r>
        <w:rPr>
          <w:color w:val="auto"/>
        </w:rPr>
        <w:tab/>
      </w:r>
      <w:r>
        <w:rPr>
          <w:color w:val="auto"/>
        </w:rPr>
        <w:tab/>
      </w:r>
      <w:r>
        <w:rPr>
          <w:color w:val="auto"/>
        </w:rPr>
        <w:tab/>
      </w:r>
      <w:r w:rsidR="00F448B4">
        <w:rPr>
          <w:color w:val="auto"/>
        </w:rPr>
        <w:t>1</w:t>
      </w:r>
      <w:r w:rsidR="000E179B">
        <w:rPr>
          <w:color w:val="auto"/>
        </w:rPr>
        <w:t>2</w:t>
      </w:r>
    </w:p>
    <w:p w14:paraId="165A0F24" w14:textId="73EF6246" w:rsidR="009667B9" w:rsidRDefault="009667B9" w:rsidP="00E14B3B">
      <w:pPr>
        <w:ind w:left="720"/>
        <w:jc w:val="both"/>
        <w:rPr>
          <w:color w:val="auto"/>
        </w:rPr>
      </w:pPr>
      <w:r>
        <w:rPr>
          <w:color w:val="auto"/>
        </w:rPr>
        <w:t xml:space="preserve">5a) How will we assess your application form? </w:t>
      </w:r>
      <w:r>
        <w:rPr>
          <w:color w:val="auto"/>
        </w:rPr>
        <w:tab/>
      </w:r>
      <w:r>
        <w:rPr>
          <w:color w:val="auto"/>
        </w:rPr>
        <w:tab/>
      </w:r>
      <w:r>
        <w:rPr>
          <w:color w:val="auto"/>
        </w:rPr>
        <w:tab/>
      </w:r>
      <w:r>
        <w:rPr>
          <w:color w:val="auto"/>
        </w:rPr>
        <w:tab/>
      </w:r>
      <w:r w:rsidR="00F448B4">
        <w:rPr>
          <w:color w:val="auto"/>
        </w:rPr>
        <w:t>1</w:t>
      </w:r>
      <w:r w:rsidR="000E179B">
        <w:rPr>
          <w:color w:val="auto"/>
        </w:rPr>
        <w:t>2</w:t>
      </w:r>
    </w:p>
    <w:p w14:paraId="242047AE" w14:textId="49B8A36F" w:rsidR="009667B9" w:rsidRDefault="009667B9" w:rsidP="00E14B3B">
      <w:pPr>
        <w:ind w:left="720"/>
        <w:jc w:val="both"/>
        <w:rPr>
          <w:color w:val="auto"/>
        </w:rPr>
      </w:pPr>
      <w:r>
        <w:rPr>
          <w:color w:val="auto"/>
        </w:rPr>
        <w:t xml:space="preserve">5b) The assessment panel </w:t>
      </w:r>
      <w:r>
        <w:rPr>
          <w:color w:val="auto"/>
        </w:rPr>
        <w:tab/>
      </w:r>
      <w:r>
        <w:rPr>
          <w:color w:val="auto"/>
        </w:rPr>
        <w:tab/>
      </w:r>
      <w:r>
        <w:rPr>
          <w:color w:val="auto"/>
        </w:rPr>
        <w:tab/>
      </w:r>
      <w:r>
        <w:rPr>
          <w:color w:val="auto"/>
        </w:rPr>
        <w:tab/>
      </w:r>
      <w:r>
        <w:rPr>
          <w:color w:val="auto"/>
        </w:rPr>
        <w:tab/>
      </w:r>
      <w:r>
        <w:rPr>
          <w:color w:val="auto"/>
        </w:rPr>
        <w:tab/>
      </w:r>
      <w:r w:rsidR="00F448B4">
        <w:rPr>
          <w:color w:val="auto"/>
        </w:rPr>
        <w:t>1</w:t>
      </w:r>
      <w:r w:rsidR="000E179B">
        <w:rPr>
          <w:color w:val="auto"/>
        </w:rPr>
        <w:t>2</w:t>
      </w:r>
    </w:p>
    <w:p w14:paraId="2B12C15C" w14:textId="09DF30AB" w:rsidR="009667B9" w:rsidRDefault="009667B9" w:rsidP="00E14B3B">
      <w:pPr>
        <w:ind w:left="720"/>
        <w:jc w:val="both"/>
        <w:rPr>
          <w:color w:val="auto"/>
        </w:rPr>
      </w:pPr>
      <w:r>
        <w:rPr>
          <w:color w:val="auto"/>
        </w:rPr>
        <w:t xml:space="preserve">5c) Scoring criteria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F448B4">
        <w:rPr>
          <w:color w:val="auto"/>
        </w:rPr>
        <w:t>1</w:t>
      </w:r>
      <w:r w:rsidR="000E179B">
        <w:rPr>
          <w:color w:val="auto"/>
        </w:rPr>
        <w:t>2</w:t>
      </w:r>
    </w:p>
    <w:p w14:paraId="2AE2C148" w14:textId="1C204BD5" w:rsidR="009667B9" w:rsidRDefault="009667B9" w:rsidP="00E14B3B">
      <w:pPr>
        <w:pStyle w:val="ListParagraph"/>
        <w:numPr>
          <w:ilvl w:val="0"/>
          <w:numId w:val="46"/>
        </w:numPr>
        <w:jc w:val="both"/>
        <w:rPr>
          <w:color w:val="auto"/>
        </w:rPr>
      </w:pPr>
      <w:r w:rsidRPr="009667B9">
        <w:rPr>
          <w:b/>
          <w:color w:val="auto"/>
        </w:rPr>
        <w:t>Next Steps</w:t>
      </w:r>
      <w:r w:rsidRPr="009667B9">
        <w:rPr>
          <w:b/>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F448B4">
        <w:rPr>
          <w:color w:val="auto"/>
        </w:rPr>
        <w:t>1</w:t>
      </w:r>
      <w:r w:rsidR="000E179B">
        <w:rPr>
          <w:color w:val="auto"/>
        </w:rPr>
        <w:t>4</w:t>
      </w:r>
    </w:p>
    <w:p w14:paraId="07CF352F" w14:textId="6EF1986C" w:rsidR="009667B9" w:rsidRDefault="009667B9" w:rsidP="00E14B3B">
      <w:pPr>
        <w:ind w:left="720"/>
        <w:jc w:val="both"/>
        <w:rPr>
          <w:color w:val="auto"/>
        </w:rPr>
      </w:pPr>
      <w:r>
        <w:rPr>
          <w:color w:val="auto"/>
        </w:rPr>
        <w:t xml:space="preserve">6a) What happens if your application is successful? </w:t>
      </w:r>
      <w:r>
        <w:rPr>
          <w:color w:val="auto"/>
        </w:rPr>
        <w:tab/>
      </w:r>
      <w:r>
        <w:rPr>
          <w:color w:val="auto"/>
        </w:rPr>
        <w:tab/>
      </w:r>
      <w:r>
        <w:rPr>
          <w:color w:val="auto"/>
        </w:rPr>
        <w:tab/>
      </w:r>
      <w:r w:rsidR="00F448B4">
        <w:rPr>
          <w:color w:val="auto"/>
        </w:rPr>
        <w:t>1</w:t>
      </w:r>
      <w:r w:rsidR="000E179B">
        <w:rPr>
          <w:color w:val="auto"/>
        </w:rPr>
        <w:t>4</w:t>
      </w:r>
    </w:p>
    <w:p w14:paraId="78DC0D5E" w14:textId="3C0DBAED" w:rsidR="009667B9" w:rsidRPr="009667B9" w:rsidRDefault="009667B9" w:rsidP="00E14B3B">
      <w:pPr>
        <w:ind w:left="720"/>
        <w:jc w:val="both"/>
        <w:rPr>
          <w:color w:val="auto"/>
        </w:rPr>
      </w:pPr>
      <w:r>
        <w:rPr>
          <w:color w:val="auto"/>
        </w:rPr>
        <w:t xml:space="preserve">6b) Drawing of funding </w:t>
      </w:r>
      <w:r>
        <w:rPr>
          <w:color w:val="auto"/>
        </w:rPr>
        <w:tab/>
      </w:r>
      <w:r>
        <w:rPr>
          <w:color w:val="auto"/>
        </w:rPr>
        <w:tab/>
      </w:r>
      <w:r>
        <w:rPr>
          <w:color w:val="auto"/>
        </w:rPr>
        <w:tab/>
      </w:r>
      <w:r>
        <w:rPr>
          <w:color w:val="auto"/>
        </w:rPr>
        <w:tab/>
      </w:r>
      <w:r>
        <w:rPr>
          <w:color w:val="auto"/>
        </w:rPr>
        <w:tab/>
      </w:r>
      <w:r>
        <w:rPr>
          <w:color w:val="auto"/>
        </w:rPr>
        <w:tab/>
      </w:r>
      <w:r>
        <w:rPr>
          <w:color w:val="auto"/>
        </w:rPr>
        <w:tab/>
      </w:r>
      <w:r w:rsidR="00F448B4">
        <w:rPr>
          <w:color w:val="auto"/>
        </w:rPr>
        <w:t>1</w:t>
      </w:r>
      <w:r w:rsidR="000E179B">
        <w:rPr>
          <w:color w:val="auto"/>
        </w:rPr>
        <w:t>4</w:t>
      </w:r>
    </w:p>
    <w:p w14:paraId="1BF2E260" w14:textId="7290E937" w:rsidR="007C56C5" w:rsidRPr="007C56C5" w:rsidRDefault="007C56C5" w:rsidP="00E14B3B">
      <w:pPr>
        <w:jc w:val="both"/>
      </w:pPr>
    </w:p>
    <w:p w14:paraId="193DC29B" w14:textId="747A96A0" w:rsidR="009F41B6" w:rsidRDefault="00BE5ED1" w:rsidP="00E14B3B">
      <w:pPr>
        <w:pStyle w:val="Heading1"/>
        <w:numPr>
          <w:ilvl w:val="0"/>
          <w:numId w:val="33"/>
        </w:numPr>
        <w:jc w:val="both"/>
      </w:pPr>
      <w:r>
        <w:lastRenderedPageBreak/>
        <w:t>Background</w:t>
      </w:r>
    </w:p>
    <w:p w14:paraId="5D30CB13" w14:textId="61CFF528" w:rsidR="009F41B6" w:rsidRDefault="00BE5ED1" w:rsidP="00E14B3B">
      <w:pPr>
        <w:pStyle w:val="Heading4"/>
        <w:spacing w:before="0"/>
        <w:jc w:val="both"/>
      </w:pPr>
      <w:r>
        <w:t>1a) 30 Hours Free Childcare</w:t>
      </w:r>
    </w:p>
    <w:p w14:paraId="1A54800E" w14:textId="3E1C4AD1" w:rsidR="00BE5ED1" w:rsidRDefault="00BE5ED1" w:rsidP="00E14B3B">
      <w:pPr>
        <w:jc w:val="both"/>
      </w:pPr>
      <w:r>
        <w:t>On 1st September</w:t>
      </w:r>
      <w:r w:rsidR="00D23331">
        <w:t xml:space="preserve"> 2017, 30 hours free childcare</w:t>
      </w:r>
      <w:r w:rsidR="00DA56BC">
        <w:rPr>
          <w:rStyle w:val="FootnoteReference"/>
        </w:rPr>
        <w:footnoteReference w:id="2"/>
      </w:r>
      <w:r w:rsidR="00D23331">
        <w:t xml:space="preserve"> </w:t>
      </w:r>
      <w:r>
        <w:t>fo</w:t>
      </w:r>
      <w:r w:rsidR="00D23331">
        <w:t xml:space="preserve">r working parents of three- </w:t>
      </w:r>
      <w:r>
        <w:t xml:space="preserve">and four-year-olds was rolled out nationally in England, fulfilling the government’s manifesto pledge. This represents a major expansion in the ‘free entitlement’, and builds on the existing, universal 15 hours entitlement for all three- and four-year-olds and the 15 hours entitlement for disadvantaged two-year-olds. </w:t>
      </w:r>
    </w:p>
    <w:p w14:paraId="30BFC0B1" w14:textId="494E062E" w:rsidR="00BE5ED1" w:rsidRDefault="00BE5ED1" w:rsidP="00E14B3B">
      <w:pPr>
        <w:jc w:val="both"/>
      </w:pPr>
      <w:r>
        <w:t xml:space="preserve">The aim of 30 hours is to make childcare more affordable and to enable parents to work, or to work more hours, if they choose to do so. It is available to families where both parents are working (or the sole parent is working in a lone parent family), and each parent earns a weekly minimum equivalent to 16 hours at national minimum wage or living wage, and less than £100,000 per year. </w:t>
      </w:r>
    </w:p>
    <w:p w14:paraId="5EEE94D5" w14:textId="240CA963" w:rsidR="00BE5ED1" w:rsidRDefault="00BE5ED1" w:rsidP="00E14B3B">
      <w:pPr>
        <w:jc w:val="both"/>
      </w:pPr>
      <w:r>
        <w:t>To deliver 30 hours, the Secretary of State for Education has discharged the duty in clause 1 of the Childcare Act 2006 (‘the duty to secure 30 hours of free childcare for working parents’) through all local authorities (LAs) in England. This means that LAs are required to secure childcare provision free of charge to qualifying children.</w:t>
      </w:r>
    </w:p>
    <w:p w14:paraId="0EA7FA49" w14:textId="30A941C7" w:rsidR="00BE5ED1" w:rsidRDefault="00BE5ED1" w:rsidP="00E14B3B">
      <w:pPr>
        <w:pStyle w:val="Heading4"/>
        <w:spacing w:before="0"/>
        <w:jc w:val="both"/>
      </w:pPr>
      <w:r>
        <w:t xml:space="preserve">1b) Progress so far </w:t>
      </w:r>
    </w:p>
    <w:p w14:paraId="53720C0B" w14:textId="41CDD543" w:rsidR="00BE5ED1" w:rsidRDefault="00BE5ED1" w:rsidP="00E14B3B">
      <w:pPr>
        <w:jc w:val="both"/>
      </w:pPr>
      <w:r>
        <w:t>Prior to the national rol</w:t>
      </w:r>
      <w:r w:rsidR="00D23331">
        <w:t>lout, 30 hours</w:t>
      </w:r>
      <w:r>
        <w:t xml:space="preserve"> was delivered early in 12 areas across the country, and as part of this early delivery over 15,000 children benefitted from a place. </w:t>
      </w:r>
    </w:p>
    <w:p w14:paraId="417BD4DF" w14:textId="68C6A496" w:rsidR="00BE5ED1" w:rsidRDefault="006C3C6B" w:rsidP="00E14B3B">
      <w:pPr>
        <w:jc w:val="both"/>
      </w:pPr>
      <w:r>
        <w:t>Our independent evaluations</w:t>
      </w:r>
      <w:r w:rsidR="00DA56BC">
        <w:rPr>
          <w:rStyle w:val="FootnoteReference"/>
        </w:rPr>
        <w:footnoteReference w:id="3"/>
      </w:r>
      <w:r>
        <w:t xml:space="preserve"> </w:t>
      </w:r>
      <w:r w:rsidR="00BE5ED1">
        <w:t>of early delivery highlighted the positive benefits that the additional hours are having, taking huge pressures off families’ financially, reducing parental stress and allowing them to spend more quality time with their family. Nearly a quarter of mothers (23%) and one in 10 fathers (9%) reported that they had been able to increase their working hours as a result of 30 hours.</w:t>
      </w:r>
    </w:p>
    <w:p w14:paraId="46A249F9" w14:textId="02926D3D" w:rsidR="00BE5ED1" w:rsidRDefault="00BE5ED1" w:rsidP="00E14B3B">
      <w:pPr>
        <w:jc w:val="both"/>
      </w:pPr>
      <w:r>
        <w:t>30 hours rolled out nationally on 1st September 2017. Demand has been high, and over 216,000 codes were issued to pa</w:t>
      </w:r>
      <w:r w:rsidR="006C3C6B">
        <w:t>rents for the autumn term. 93%</w:t>
      </w:r>
      <w:r w:rsidR="002165FB">
        <w:rPr>
          <w:rStyle w:val="FootnoteReference"/>
        </w:rPr>
        <w:footnoteReference w:id="4"/>
      </w:r>
      <w:r w:rsidR="0050240D">
        <w:t xml:space="preserve"> </w:t>
      </w:r>
      <w:r>
        <w:t xml:space="preserve">of these codes were validated on behalf of a parent seeking a place. </w:t>
      </w:r>
    </w:p>
    <w:p w14:paraId="4CA99FC6" w14:textId="598F8259" w:rsidR="00BE5ED1" w:rsidRDefault="00BE5ED1" w:rsidP="00E14B3B">
      <w:pPr>
        <w:pStyle w:val="Heading1"/>
        <w:numPr>
          <w:ilvl w:val="0"/>
          <w:numId w:val="33"/>
        </w:numPr>
        <w:jc w:val="both"/>
      </w:pPr>
      <w:r>
        <w:lastRenderedPageBreak/>
        <w:t xml:space="preserve">The Delivery Support Fund </w:t>
      </w:r>
    </w:p>
    <w:p w14:paraId="4A4914B1" w14:textId="77777777" w:rsidR="00C27236" w:rsidRDefault="00C27236" w:rsidP="00E14B3B">
      <w:pPr>
        <w:jc w:val="both"/>
      </w:pPr>
      <w:r>
        <w:t xml:space="preserve">The successful delivery of 30 hours in the first term means that thousands of families across the country are benefitting from the offer. We know that LAs and providers have invested a significant amount of time and effort to make a success of a national policy change which has many benefits for parents. However, we recognise that this is a major transformation for the market and has been challenging for both LAs and providers. </w:t>
      </w:r>
    </w:p>
    <w:p w14:paraId="031572A5" w14:textId="3F019244" w:rsidR="00C27236" w:rsidRDefault="00C27236" w:rsidP="00E14B3B">
      <w:pPr>
        <w:jc w:val="both"/>
      </w:pPr>
      <w:r>
        <w:t xml:space="preserve">We are already looking towards delivery in the summer term, when demand will be at its highest as more children turn three and parental awareness increases. We understand that this may bring with it a variety of challenges, as LAs and providers continue to work to ensure there are sufficient places. </w:t>
      </w:r>
    </w:p>
    <w:p w14:paraId="524353CF" w14:textId="096C099B" w:rsidR="00C27236" w:rsidRDefault="00C27236" w:rsidP="00E14B3B">
      <w:pPr>
        <w:jc w:val="both"/>
      </w:pPr>
      <w:r>
        <w:t>To support LAs with the first year of delivery, and to enable them to support their providers to deliver sufficient 30 hours places, the Department for Education (DfE) has established t</w:t>
      </w:r>
      <w:r w:rsidR="000F7F9C">
        <w:t xml:space="preserve">he Delivery Support Fund (DSF). </w:t>
      </w:r>
      <w:r>
        <w:t xml:space="preserve">The DfE will make the DSF available to LAs via a bid round. The following definitions will be used throughout this guidance: </w:t>
      </w:r>
    </w:p>
    <w:p w14:paraId="3CD8661E" w14:textId="1AF19705" w:rsidR="00C27236" w:rsidRDefault="00C27236" w:rsidP="00E14B3B">
      <w:pPr>
        <w:pStyle w:val="ListParagraph"/>
        <w:numPr>
          <w:ilvl w:val="0"/>
          <w:numId w:val="34"/>
        </w:numPr>
        <w:jc w:val="both"/>
      </w:pPr>
      <w:r w:rsidRPr="000F7F9C">
        <w:rPr>
          <w:b/>
        </w:rPr>
        <w:t>Bid round</w:t>
      </w:r>
      <w:r w:rsidR="000F7F9C">
        <w:t xml:space="preserve"> - </w:t>
      </w:r>
      <w:r>
        <w:t>This is the process through which all LAs can access the DSF.</w:t>
      </w:r>
    </w:p>
    <w:p w14:paraId="5AE1603F" w14:textId="455AAFCC" w:rsidR="00C27236" w:rsidRDefault="00C27236" w:rsidP="00E14B3B">
      <w:pPr>
        <w:pStyle w:val="ListParagraph"/>
        <w:numPr>
          <w:ilvl w:val="0"/>
          <w:numId w:val="34"/>
        </w:numPr>
        <w:jc w:val="both"/>
      </w:pPr>
      <w:r w:rsidRPr="000F7F9C">
        <w:rPr>
          <w:b/>
        </w:rPr>
        <w:t>Application form</w:t>
      </w:r>
      <w:r w:rsidR="000F7F9C">
        <w:t xml:space="preserve"> -</w:t>
      </w:r>
      <w:r>
        <w:t xml:space="preserve"> Each LA can complete one application form which must include a total funding amount. </w:t>
      </w:r>
    </w:p>
    <w:p w14:paraId="5D8D5AA8" w14:textId="74778408" w:rsidR="00C27236" w:rsidRDefault="00C27236" w:rsidP="00E14B3B">
      <w:pPr>
        <w:pStyle w:val="ListParagraph"/>
        <w:numPr>
          <w:ilvl w:val="0"/>
          <w:numId w:val="34"/>
        </w:numPr>
        <w:jc w:val="both"/>
      </w:pPr>
      <w:r w:rsidRPr="000F7F9C">
        <w:rPr>
          <w:b/>
        </w:rPr>
        <w:t>Project</w:t>
      </w:r>
      <w:r>
        <w:t xml:space="preserve"> - Within an application form, LAs may request funding for one project or multiple projects. For example, an LA may wish to apply for funds to support an additional member of staff and funds to support local sufficiency mapping. LAs must provide a breakdown of </w:t>
      </w:r>
      <w:r w:rsidR="000F7F9C">
        <w:t>cost</w:t>
      </w:r>
      <w:r>
        <w:t xml:space="preserve"> for each project.</w:t>
      </w:r>
    </w:p>
    <w:p w14:paraId="1380C6FA" w14:textId="6F34E9E8" w:rsidR="00C27236" w:rsidRDefault="00C27236" w:rsidP="00E14B3B">
      <w:pPr>
        <w:jc w:val="both"/>
      </w:pPr>
      <w:r>
        <w:t xml:space="preserve">Funding will be available as part of this bid round for work that directly benefits 30 hours delivery and will create (directly or indirectly) new 30 hours places for the 2018 summer term. </w:t>
      </w:r>
    </w:p>
    <w:p w14:paraId="0E4C4574" w14:textId="24A16FE1" w:rsidR="00C27236" w:rsidRDefault="00C27236" w:rsidP="00E14B3B">
      <w:pPr>
        <w:jc w:val="both"/>
      </w:pPr>
      <w:r>
        <w:t xml:space="preserve">LAs are strongly advised to work closely with their providers to develop an understanding of the challenges in their local area before submitting an application form. We would encourage LAs to develop </w:t>
      </w:r>
      <w:r w:rsidR="005C22AD">
        <w:t xml:space="preserve">high quality application forms, </w:t>
      </w:r>
      <w:r>
        <w:t xml:space="preserve">which provide succinct and relevant evidence that they meet the priorities outlined in this guidance. </w:t>
      </w:r>
    </w:p>
    <w:p w14:paraId="684D374C" w14:textId="6361D2C7" w:rsidR="00BE5ED1" w:rsidRDefault="00C27236" w:rsidP="00E14B3B">
      <w:pPr>
        <w:jc w:val="both"/>
      </w:pPr>
      <w:r>
        <w:t>In deciding which project(s) to submit, LAs should pay close attention to the examples of eligible projects outlined on page 6 of this guidance. We want to ensure that funding is allocated to directly address issues and where it will have the greatest impact. Application forms will be assessed by a panel</w:t>
      </w:r>
      <w:r w:rsidR="004C34CB">
        <w:t xml:space="preserve"> and they reserve the right </w:t>
      </w:r>
      <w:r>
        <w:t xml:space="preserve">to </w:t>
      </w:r>
      <w:r w:rsidR="004C34CB">
        <w:t xml:space="preserve">not </w:t>
      </w:r>
      <w:r>
        <w:t>allocate funding to LAs in their sole and absolute discretion.</w:t>
      </w:r>
    </w:p>
    <w:p w14:paraId="6D5E47AE" w14:textId="5DFA1E61" w:rsidR="00C27236" w:rsidRDefault="00C27236" w:rsidP="00E14B3B">
      <w:pPr>
        <w:spacing w:line="240" w:lineRule="auto"/>
        <w:jc w:val="both"/>
      </w:pPr>
      <w:r>
        <w:br w:type="page"/>
      </w:r>
    </w:p>
    <w:p w14:paraId="060BF087" w14:textId="1C568649" w:rsidR="00C27236" w:rsidRDefault="00C27236" w:rsidP="00E14B3B">
      <w:pPr>
        <w:pStyle w:val="Heading1"/>
        <w:numPr>
          <w:ilvl w:val="0"/>
          <w:numId w:val="33"/>
        </w:numPr>
        <w:jc w:val="both"/>
      </w:pPr>
      <w:r>
        <w:lastRenderedPageBreak/>
        <w:t xml:space="preserve">Funding and Eligibility  </w:t>
      </w:r>
    </w:p>
    <w:p w14:paraId="127A58F8" w14:textId="77777777" w:rsidR="00C27236" w:rsidRDefault="00C27236" w:rsidP="00E14B3B">
      <w:pPr>
        <w:pStyle w:val="Heading4"/>
        <w:spacing w:before="0"/>
        <w:jc w:val="both"/>
      </w:pPr>
      <w:r>
        <w:t xml:space="preserve">3a) Available funding </w:t>
      </w:r>
    </w:p>
    <w:p w14:paraId="53B41E49" w14:textId="1C81F069" w:rsidR="00C27236" w:rsidRDefault="00C27236" w:rsidP="00E14B3B">
      <w:pPr>
        <w:jc w:val="both"/>
      </w:pPr>
      <w:r>
        <w:t>£8,650,000 is available for</w:t>
      </w:r>
      <w:r w:rsidR="00EE21FB">
        <w:t xml:space="preserve"> LAs as part of this bid round. </w:t>
      </w:r>
      <w:r>
        <w:t>This will be distributed between a maximum of 152 LAs.</w:t>
      </w:r>
    </w:p>
    <w:p w14:paraId="10C51A28" w14:textId="4976F6DB" w:rsidR="00C27236" w:rsidRDefault="00C27236" w:rsidP="00E14B3B">
      <w:pPr>
        <w:jc w:val="both"/>
      </w:pPr>
      <w:r>
        <w:t xml:space="preserve">The level of funding that is provided to LAs will be scalable depending on their individual need and the quality of the application forms received. This means that different size grants will be provided to different LAs, depending on a) the challenges </w:t>
      </w:r>
      <w:r w:rsidR="00DB1515">
        <w:t>facing the LA and b) how well an LA</w:t>
      </w:r>
      <w:r>
        <w:t xml:space="preserve"> has evidenced that its project(s) will enable it to deliver sufficient 30 hours places for the summer term.</w:t>
      </w:r>
    </w:p>
    <w:p w14:paraId="3E6A584A" w14:textId="21E5E283" w:rsidR="00C27236" w:rsidRPr="00C27236" w:rsidRDefault="00C27236" w:rsidP="00E14B3B">
      <w:pPr>
        <w:jc w:val="both"/>
      </w:pPr>
      <w:r>
        <w:t xml:space="preserve">There is no minimum or upper limit for grant awards, but we do not expect to award an LA more than £70,000 in total. However, if an LA has clearly demonstrated in its application form why it needs the amount </w:t>
      </w:r>
      <w:r w:rsidR="00DC18D8">
        <w:t xml:space="preserve">that </w:t>
      </w:r>
      <w:r>
        <w:t>it has requested and how the project(s) will</w:t>
      </w:r>
      <w:r w:rsidR="003E66EC">
        <w:t xml:space="preserve"> provide value for money</w:t>
      </w:r>
      <w:r>
        <w:t>, then we will consider applications which request more than this in total. Projects must support 30 hours delivery and create (directly or indirectly) new 30 hours places for the 2018 summer term.</w:t>
      </w:r>
    </w:p>
    <w:p w14:paraId="4099965E" w14:textId="060408B4" w:rsidR="00C27236" w:rsidRDefault="00C27236" w:rsidP="00E14B3B">
      <w:pPr>
        <w:pStyle w:val="Heading4"/>
        <w:spacing w:before="0"/>
        <w:jc w:val="both"/>
      </w:pPr>
      <w:r>
        <w:t xml:space="preserve">3b) Eligibility  </w:t>
      </w:r>
    </w:p>
    <w:p w14:paraId="2FCD935F" w14:textId="480D7083" w:rsidR="00C27236" w:rsidRDefault="00C27236" w:rsidP="00E14B3B">
      <w:pPr>
        <w:jc w:val="both"/>
      </w:pPr>
      <w:r>
        <w:t xml:space="preserve">The primary aim of the bid round is to enable LAs to meet their statutory duty and support providers to successfully deliver 30 hours in the 2018 summer term. </w:t>
      </w:r>
    </w:p>
    <w:p w14:paraId="7008A6B3" w14:textId="49E9850F" w:rsidR="00C27236" w:rsidRDefault="00C27236" w:rsidP="00E14B3B">
      <w:pPr>
        <w:jc w:val="both"/>
      </w:pPr>
      <w:r>
        <w:t xml:space="preserve">All LAs in England are eligible to apply for funding. There can only be </w:t>
      </w:r>
      <w:r w:rsidRPr="00031B79">
        <w:rPr>
          <w:u w:val="single"/>
        </w:rPr>
        <w:t>one application form per LA</w:t>
      </w:r>
      <w:r>
        <w:t xml:space="preserve"> which includes a total funding amount. Throughout their application form, LAs must be able to clearly demonstrate how their project(s) will address challenges in their local area and support the delivery of 30 hours by creating (directly or indirectly) new 30 hours places that would not have otherwise been available.</w:t>
      </w:r>
    </w:p>
    <w:p w14:paraId="11385439" w14:textId="0A8FABDC" w:rsidR="00C27236" w:rsidRDefault="00C27236" w:rsidP="00E14B3B">
      <w:pPr>
        <w:jc w:val="both"/>
      </w:pPr>
      <w:r>
        <w:t xml:space="preserve">Within an application form, LAs may request </w:t>
      </w:r>
      <w:r w:rsidRPr="00031B79">
        <w:rPr>
          <w:u w:val="single"/>
        </w:rPr>
        <w:t>funding for multiple projects</w:t>
      </w:r>
      <w:r>
        <w:t xml:space="preserve"> that meet local need. If an LA is requesting funding for multiple projects within their application form then they must demonstrate how the combination of work will enable them to address sufficiency challenges. </w:t>
      </w:r>
    </w:p>
    <w:p w14:paraId="629BDB75" w14:textId="2195068C" w:rsidR="00C27236" w:rsidRDefault="00C27236" w:rsidP="00E14B3B">
      <w:pPr>
        <w:jc w:val="both"/>
      </w:pPr>
      <w:r>
        <w:t>LAs must also provide a breakdown of the cost for each project. We will only provide funding for the project(s) that the assessment panel decides will provide value for money and support 30 hours delivery. Each project will be considered, and we reserve the right not to fund all</w:t>
      </w:r>
      <w:r w:rsidR="00A978C3">
        <w:t xml:space="preserve"> of</w:t>
      </w:r>
      <w:r>
        <w:t xml:space="preserve"> the projects.</w:t>
      </w:r>
    </w:p>
    <w:p w14:paraId="103EFDB6" w14:textId="77777777" w:rsidR="00C27236" w:rsidRDefault="00C27236" w:rsidP="00E14B3B">
      <w:pPr>
        <w:jc w:val="both"/>
      </w:pPr>
      <w:r w:rsidRPr="008C3011">
        <w:rPr>
          <w:u w:val="single"/>
        </w:rPr>
        <w:t>Joint projects</w:t>
      </w:r>
      <w:r>
        <w:t xml:space="preserve"> between LAs will also be accepted as part of an application, but these must be submitted by one lead LA. Further information on joint projects can be found on page 8 of this guidance. </w:t>
      </w:r>
    </w:p>
    <w:p w14:paraId="5F6C493A" w14:textId="415D0CFD" w:rsidR="00C27236" w:rsidRDefault="00C27236" w:rsidP="00E14B3B">
      <w:pPr>
        <w:jc w:val="both"/>
      </w:pPr>
      <w:r>
        <w:t>We expect all funding to be spent by LAs by 31st August 2018.</w:t>
      </w:r>
    </w:p>
    <w:p w14:paraId="270706AC" w14:textId="7A78BD78" w:rsidR="008C3011" w:rsidRDefault="008C3011" w:rsidP="00E14B3B">
      <w:pPr>
        <w:pStyle w:val="Heading4"/>
        <w:spacing w:before="0"/>
        <w:jc w:val="both"/>
      </w:pPr>
      <w:r>
        <w:lastRenderedPageBreak/>
        <w:t>3</w:t>
      </w:r>
      <w:r w:rsidR="00A852C1">
        <w:t>c</w:t>
      </w:r>
      <w:r>
        <w:t xml:space="preserve">) </w:t>
      </w:r>
      <w:r w:rsidR="00A852C1">
        <w:t xml:space="preserve">Example projects </w:t>
      </w:r>
    </w:p>
    <w:p w14:paraId="7EE7B972" w14:textId="411A53D6" w:rsidR="008C3011" w:rsidRPr="008C3011" w:rsidRDefault="008C3011" w:rsidP="00E14B3B">
      <w:pPr>
        <w:jc w:val="both"/>
        <w:rPr>
          <w:i/>
        </w:rPr>
      </w:pPr>
      <w:r w:rsidRPr="008C3011">
        <w:rPr>
          <w:i/>
        </w:rPr>
        <w:t>Individual projects</w:t>
      </w:r>
    </w:p>
    <w:p w14:paraId="1AC24779" w14:textId="77777777" w:rsidR="008C3011" w:rsidRDefault="008C3011" w:rsidP="00E14B3B">
      <w:pPr>
        <w:jc w:val="both"/>
      </w:pPr>
      <w:r>
        <w:t xml:space="preserve">Funding can only be used to support 30 hours delivery and it must contribute to ensuring there are sufficient places in the 2018 summer term. </w:t>
      </w:r>
    </w:p>
    <w:p w14:paraId="73CF4963" w14:textId="47EB58C2" w:rsidR="008C3011" w:rsidRDefault="008C3011" w:rsidP="00E14B3B">
      <w:pPr>
        <w:jc w:val="both"/>
      </w:pPr>
      <w:r>
        <w:t xml:space="preserve">Examples of the type of work that would be considered for funding are set out below. </w:t>
      </w:r>
      <w:r w:rsidRPr="008C3011">
        <w:rPr>
          <w:u w:val="single"/>
        </w:rPr>
        <w:t>This list is not exhaustive and is intended to be used as a guide.</w:t>
      </w:r>
    </w:p>
    <w:p w14:paraId="3C9A55B4" w14:textId="77777777" w:rsidR="00031B79" w:rsidRDefault="008C3011" w:rsidP="00E14B3B">
      <w:pPr>
        <w:pStyle w:val="ListParagraph"/>
        <w:numPr>
          <w:ilvl w:val="0"/>
          <w:numId w:val="37"/>
        </w:numPr>
        <w:jc w:val="both"/>
        <w:rPr>
          <w:b/>
        </w:rPr>
      </w:pPr>
      <w:r w:rsidRPr="00031B79">
        <w:rPr>
          <w:b/>
        </w:rPr>
        <w:t>Additional staffing within the LA to directly support 30 hours delivery</w:t>
      </w:r>
    </w:p>
    <w:p w14:paraId="08B4F28C" w14:textId="77777777" w:rsidR="00031B79" w:rsidRDefault="008C3011" w:rsidP="00E14B3B">
      <w:pPr>
        <w:pStyle w:val="ListParagraph"/>
        <w:numPr>
          <w:ilvl w:val="0"/>
          <w:numId w:val="0"/>
        </w:numPr>
        <w:ind w:left="720"/>
        <w:jc w:val="both"/>
      </w:pPr>
      <w:r>
        <w:t xml:space="preserve">For example, funding for an additional team member to champion 30 hours and to work more intensively with providers to help them successfully deliver in the summer term. </w:t>
      </w:r>
    </w:p>
    <w:p w14:paraId="1901812C" w14:textId="77777777" w:rsidR="00031B79" w:rsidRDefault="00031B79" w:rsidP="00E14B3B">
      <w:pPr>
        <w:pStyle w:val="ListParagraph"/>
        <w:numPr>
          <w:ilvl w:val="0"/>
          <w:numId w:val="0"/>
        </w:numPr>
        <w:ind w:left="720"/>
        <w:jc w:val="both"/>
      </w:pPr>
    </w:p>
    <w:p w14:paraId="55EE213A" w14:textId="77777777" w:rsidR="00031B79" w:rsidRDefault="008C3011" w:rsidP="00E14B3B">
      <w:pPr>
        <w:pStyle w:val="ListParagraph"/>
        <w:numPr>
          <w:ilvl w:val="0"/>
          <w:numId w:val="37"/>
        </w:numPr>
        <w:jc w:val="both"/>
        <w:rPr>
          <w:b/>
        </w:rPr>
      </w:pPr>
      <w:r w:rsidRPr="00031B79">
        <w:rPr>
          <w:b/>
        </w:rPr>
        <w:t xml:space="preserve">Business sustainability and change support for providers </w:t>
      </w:r>
    </w:p>
    <w:p w14:paraId="19DE22C8" w14:textId="7528F741" w:rsidR="008C3011" w:rsidRDefault="008C3011" w:rsidP="00E14B3B">
      <w:pPr>
        <w:pStyle w:val="ListParagraph"/>
        <w:numPr>
          <w:ilvl w:val="0"/>
          <w:numId w:val="0"/>
        </w:numPr>
        <w:ind w:left="720"/>
        <w:jc w:val="both"/>
      </w:pPr>
      <w:r>
        <w:t>For example, funding could be used to set up a contract with an external business sustainability consultant to give providers support and advice to review their business models and explore new delivery models.</w:t>
      </w:r>
    </w:p>
    <w:p w14:paraId="3FA2657C" w14:textId="77777777" w:rsidR="00031B79" w:rsidRPr="00031B79" w:rsidRDefault="00031B79" w:rsidP="00E14B3B">
      <w:pPr>
        <w:pStyle w:val="ListParagraph"/>
        <w:numPr>
          <w:ilvl w:val="0"/>
          <w:numId w:val="0"/>
        </w:numPr>
        <w:ind w:left="720"/>
        <w:jc w:val="both"/>
        <w:rPr>
          <w:b/>
        </w:rPr>
      </w:pPr>
    </w:p>
    <w:p w14:paraId="51EDB16E" w14:textId="77777777" w:rsidR="00031B79" w:rsidRDefault="008C3011" w:rsidP="00E14B3B">
      <w:pPr>
        <w:pStyle w:val="ListParagraph"/>
        <w:numPr>
          <w:ilvl w:val="0"/>
          <w:numId w:val="37"/>
        </w:numPr>
        <w:jc w:val="both"/>
        <w:rPr>
          <w:b/>
        </w:rPr>
      </w:pPr>
      <w:r w:rsidRPr="00031B79">
        <w:rPr>
          <w:b/>
        </w:rPr>
        <w:t>Supporting children with SEND</w:t>
      </w:r>
    </w:p>
    <w:p w14:paraId="5B4D53C1" w14:textId="5AFEBB54" w:rsidR="00031B79" w:rsidRDefault="008C3011" w:rsidP="00E14B3B">
      <w:pPr>
        <w:pStyle w:val="ListParagraph"/>
        <w:numPr>
          <w:ilvl w:val="0"/>
          <w:numId w:val="0"/>
        </w:numPr>
        <w:ind w:left="720"/>
        <w:jc w:val="both"/>
      </w:pPr>
      <w:r>
        <w:t>Funding to help improve access and secure sufficient quality 30 hours provision to support children with SEND. This could include increasing and promoting flexible and inclusive provision for children with SEND.</w:t>
      </w:r>
    </w:p>
    <w:p w14:paraId="79657468" w14:textId="77777777" w:rsidR="00031B79" w:rsidRPr="00031B79" w:rsidRDefault="00031B79" w:rsidP="00E14B3B">
      <w:pPr>
        <w:pStyle w:val="ListParagraph"/>
        <w:numPr>
          <w:ilvl w:val="0"/>
          <w:numId w:val="0"/>
        </w:numPr>
        <w:ind w:left="720"/>
        <w:jc w:val="both"/>
      </w:pPr>
    </w:p>
    <w:p w14:paraId="55E439B5" w14:textId="6D748AED" w:rsidR="00031B79" w:rsidRDefault="008C3011" w:rsidP="00E14B3B">
      <w:pPr>
        <w:pStyle w:val="ListParagraph"/>
        <w:numPr>
          <w:ilvl w:val="0"/>
          <w:numId w:val="37"/>
        </w:numPr>
        <w:jc w:val="both"/>
        <w:rPr>
          <w:b/>
        </w:rPr>
      </w:pPr>
      <w:r w:rsidRPr="00031B79">
        <w:rPr>
          <w:b/>
        </w:rPr>
        <w:t>Communication to parents</w:t>
      </w:r>
      <w:r w:rsidR="0099408F" w:rsidRPr="0099408F">
        <w:rPr>
          <w:rStyle w:val="FootnoteReference"/>
        </w:rPr>
        <w:footnoteReference w:id="5"/>
      </w:r>
    </w:p>
    <w:p w14:paraId="7EC4B928" w14:textId="77777777" w:rsidR="00031B79" w:rsidRDefault="008C3011" w:rsidP="00E14B3B">
      <w:pPr>
        <w:pStyle w:val="ListParagraph"/>
        <w:numPr>
          <w:ilvl w:val="0"/>
          <w:numId w:val="0"/>
        </w:numPr>
        <w:ind w:left="720"/>
        <w:jc w:val="both"/>
      </w:pPr>
      <w:r>
        <w:t xml:space="preserve">Funding may be used to improve existing communication to parents about 30 hours to ensure healthy demand and to help parents understand what they are entitled to and how to access 30 hours.  </w:t>
      </w:r>
    </w:p>
    <w:p w14:paraId="24A5AFD8" w14:textId="77777777" w:rsidR="00031B79" w:rsidRDefault="00031B79" w:rsidP="00E14B3B">
      <w:pPr>
        <w:pStyle w:val="ListParagraph"/>
        <w:numPr>
          <w:ilvl w:val="0"/>
          <w:numId w:val="0"/>
        </w:numPr>
        <w:ind w:left="720"/>
        <w:jc w:val="both"/>
      </w:pPr>
    </w:p>
    <w:p w14:paraId="427CA1FD" w14:textId="77777777" w:rsidR="00031B79" w:rsidRPr="00031B79" w:rsidRDefault="008C3011" w:rsidP="00E14B3B">
      <w:pPr>
        <w:pStyle w:val="ListParagraph"/>
        <w:numPr>
          <w:ilvl w:val="0"/>
          <w:numId w:val="37"/>
        </w:numPr>
        <w:jc w:val="both"/>
        <w:rPr>
          <w:b/>
        </w:rPr>
      </w:pPr>
      <w:r w:rsidRPr="00031B79">
        <w:rPr>
          <w:b/>
        </w:rPr>
        <w:t>Enhancing/supporting partnership arrangements between providers</w:t>
      </w:r>
    </w:p>
    <w:p w14:paraId="1474059A" w14:textId="77777777" w:rsidR="00031B79" w:rsidRDefault="008C3011" w:rsidP="00E14B3B">
      <w:pPr>
        <w:pStyle w:val="ListParagraph"/>
        <w:numPr>
          <w:ilvl w:val="0"/>
          <w:numId w:val="0"/>
        </w:numPr>
        <w:ind w:left="720"/>
        <w:jc w:val="both"/>
      </w:pPr>
      <w:r>
        <w:t>Funding to support the development of new and effective partnership arrangements between providers in a local area. For example, funding could be used to set up a partnership hub, bringing together a primary school, nursery and childminder network to create a joint offer that is appealing to parents and meets their needs.</w:t>
      </w:r>
    </w:p>
    <w:p w14:paraId="54182B23" w14:textId="77777777" w:rsidR="00031B79" w:rsidRDefault="00031B79" w:rsidP="00E14B3B">
      <w:pPr>
        <w:pStyle w:val="ListParagraph"/>
        <w:numPr>
          <w:ilvl w:val="0"/>
          <w:numId w:val="0"/>
        </w:numPr>
        <w:ind w:left="720"/>
        <w:jc w:val="both"/>
      </w:pPr>
    </w:p>
    <w:p w14:paraId="680C1999" w14:textId="77777777" w:rsidR="00031B79" w:rsidRPr="00031B79" w:rsidRDefault="00031B79" w:rsidP="00E14B3B">
      <w:pPr>
        <w:pStyle w:val="ListParagraph"/>
        <w:numPr>
          <w:ilvl w:val="0"/>
          <w:numId w:val="37"/>
        </w:numPr>
        <w:jc w:val="both"/>
        <w:rPr>
          <w:b/>
        </w:rPr>
      </w:pPr>
      <w:r w:rsidRPr="00031B79">
        <w:rPr>
          <w:b/>
        </w:rPr>
        <w:t>Local sufficiency mapping</w:t>
      </w:r>
    </w:p>
    <w:p w14:paraId="3B1BFF0D" w14:textId="77777777" w:rsidR="00031B79" w:rsidRDefault="008C3011" w:rsidP="00E14B3B">
      <w:pPr>
        <w:pStyle w:val="ListParagraph"/>
        <w:numPr>
          <w:ilvl w:val="0"/>
          <w:numId w:val="0"/>
        </w:numPr>
        <w:ind w:left="720"/>
        <w:jc w:val="both"/>
      </w:pPr>
      <w:r>
        <w:lastRenderedPageBreak/>
        <w:t>Funding to enable LAs to carry out detailed sufficiency mapping exercises to improve their ward level understanding of supply and demand.</w:t>
      </w:r>
    </w:p>
    <w:p w14:paraId="3C105873" w14:textId="77777777" w:rsidR="00031B79" w:rsidRDefault="00031B79" w:rsidP="00E14B3B">
      <w:pPr>
        <w:pStyle w:val="ListParagraph"/>
        <w:numPr>
          <w:ilvl w:val="0"/>
          <w:numId w:val="0"/>
        </w:numPr>
        <w:ind w:left="720"/>
        <w:jc w:val="both"/>
      </w:pPr>
    </w:p>
    <w:p w14:paraId="6353E3D3" w14:textId="77777777" w:rsidR="00031B79" w:rsidRDefault="008C3011" w:rsidP="00E14B3B">
      <w:pPr>
        <w:pStyle w:val="ListParagraph"/>
        <w:numPr>
          <w:ilvl w:val="0"/>
          <w:numId w:val="37"/>
        </w:numPr>
        <w:jc w:val="both"/>
        <w:rPr>
          <w:b/>
        </w:rPr>
      </w:pPr>
      <w:r w:rsidRPr="00031B79">
        <w:rPr>
          <w:b/>
        </w:rPr>
        <w:t xml:space="preserve">Systems/IT support </w:t>
      </w:r>
    </w:p>
    <w:p w14:paraId="65268CA3" w14:textId="2539F1C0" w:rsidR="00B8058B" w:rsidRDefault="008C3011" w:rsidP="00B8058B">
      <w:pPr>
        <w:pStyle w:val="ListParagraph"/>
        <w:numPr>
          <w:ilvl w:val="0"/>
          <w:numId w:val="0"/>
        </w:numPr>
        <w:ind w:left="720"/>
        <w:jc w:val="both"/>
      </w:pPr>
      <w:r>
        <w:t>Funding to support LAs to develop/implement an efficient and effective automated process for checking parent’s eligibility and/or paying providers.</w:t>
      </w:r>
    </w:p>
    <w:p w14:paraId="30EA6A0C" w14:textId="77777777" w:rsidR="00B8058B" w:rsidRPr="00B8058B" w:rsidRDefault="00B8058B" w:rsidP="00B8058B">
      <w:pPr>
        <w:pStyle w:val="ListParagraph"/>
        <w:numPr>
          <w:ilvl w:val="0"/>
          <w:numId w:val="0"/>
        </w:numPr>
        <w:ind w:left="720"/>
        <w:jc w:val="both"/>
      </w:pPr>
    </w:p>
    <w:p w14:paraId="21BDCCD6" w14:textId="77777777" w:rsidR="00031B79" w:rsidRDefault="008C3011" w:rsidP="00E14B3B">
      <w:pPr>
        <w:pStyle w:val="ListParagraph"/>
        <w:numPr>
          <w:ilvl w:val="0"/>
          <w:numId w:val="37"/>
        </w:numPr>
        <w:jc w:val="both"/>
        <w:rPr>
          <w:b/>
        </w:rPr>
      </w:pPr>
      <w:r w:rsidRPr="00031B79">
        <w:rPr>
          <w:b/>
        </w:rPr>
        <w:t xml:space="preserve">Small-scale capital funding </w:t>
      </w:r>
    </w:p>
    <w:p w14:paraId="30D9F23E" w14:textId="7089D588" w:rsidR="008C3011" w:rsidRDefault="008C3011" w:rsidP="00E14B3B">
      <w:pPr>
        <w:pStyle w:val="ListParagraph"/>
        <w:numPr>
          <w:ilvl w:val="0"/>
          <w:numId w:val="0"/>
        </w:numPr>
        <w:ind w:left="720"/>
        <w:jc w:val="both"/>
      </w:pPr>
      <w:r>
        <w:t xml:space="preserve">In some instances, ‘small scale capital’ may be required to support providers with 30 hours delivery. By small scale capital we mean projects that cost less than £10,000. For example, building work to dismantle </w:t>
      </w:r>
      <w:r w:rsidR="00B8058B">
        <w:t>walls or add additional toilets</w:t>
      </w:r>
      <w:r>
        <w:t>.</w:t>
      </w:r>
    </w:p>
    <w:p w14:paraId="7E7196C1" w14:textId="05DCAB87" w:rsidR="008250DA" w:rsidRDefault="008250DA" w:rsidP="00E14B3B">
      <w:pPr>
        <w:pStyle w:val="ListParagraph"/>
        <w:numPr>
          <w:ilvl w:val="0"/>
          <w:numId w:val="0"/>
        </w:numPr>
        <w:ind w:left="720"/>
        <w:jc w:val="both"/>
      </w:pPr>
    </w:p>
    <w:p w14:paraId="7DAD07BF" w14:textId="6A9DF127" w:rsidR="008250DA" w:rsidRDefault="008250DA" w:rsidP="00E14B3B">
      <w:pPr>
        <w:pStyle w:val="ListParagraph"/>
        <w:numPr>
          <w:ilvl w:val="0"/>
          <w:numId w:val="37"/>
        </w:numPr>
        <w:jc w:val="both"/>
        <w:rPr>
          <w:b/>
        </w:rPr>
      </w:pPr>
      <w:r w:rsidRPr="008250DA">
        <w:rPr>
          <w:b/>
        </w:rPr>
        <w:t>Managing the childcare market in the local area</w:t>
      </w:r>
    </w:p>
    <w:p w14:paraId="1D3454B2" w14:textId="53918A6B" w:rsidR="008250DA" w:rsidRDefault="008250DA" w:rsidP="00E14B3B">
      <w:pPr>
        <w:pStyle w:val="ListParagraph"/>
        <w:numPr>
          <w:ilvl w:val="0"/>
          <w:numId w:val="0"/>
        </w:numPr>
        <w:ind w:left="720"/>
        <w:jc w:val="both"/>
      </w:pPr>
      <w:r w:rsidRPr="008250DA">
        <w:t>LAs may request funding for resource to develop and manage its provider market.</w:t>
      </w:r>
    </w:p>
    <w:p w14:paraId="117808AF" w14:textId="77777777" w:rsidR="008250DA" w:rsidRDefault="008250DA" w:rsidP="00E14B3B">
      <w:pPr>
        <w:pStyle w:val="ListParagraph"/>
        <w:numPr>
          <w:ilvl w:val="0"/>
          <w:numId w:val="0"/>
        </w:numPr>
        <w:ind w:left="720"/>
        <w:jc w:val="both"/>
      </w:pPr>
    </w:p>
    <w:p w14:paraId="5F9D6866" w14:textId="202531B1" w:rsidR="00F448B4" w:rsidRPr="00F448B4" w:rsidRDefault="00F448B4" w:rsidP="00E14B3B">
      <w:pPr>
        <w:pStyle w:val="ListParagraph"/>
        <w:numPr>
          <w:ilvl w:val="0"/>
          <w:numId w:val="37"/>
        </w:numPr>
        <w:jc w:val="both"/>
      </w:pPr>
      <w:r>
        <w:rPr>
          <w:b/>
        </w:rPr>
        <w:t>Supporting childminders to deliver 30 hours</w:t>
      </w:r>
    </w:p>
    <w:p w14:paraId="4DF00594" w14:textId="1703F85F" w:rsidR="00F448B4" w:rsidRPr="00031B79" w:rsidRDefault="00F448B4" w:rsidP="00E14B3B">
      <w:pPr>
        <w:pStyle w:val="ListParagraph"/>
        <w:numPr>
          <w:ilvl w:val="0"/>
          <w:numId w:val="0"/>
        </w:numPr>
        <w:ind w:left="720"/>
        <w:jc w:val="both"/>
      </w:pPr>
      <w:r w:rsidRPr="00F448B4">
        <w:t>Funding to support</w:t>
      </w:r>
      <w:r w:rsidR="00F648FF">
        <w:t xml:space="preserve"> work that is specific to childminders. This could include recruiting </w:t>
      </w:r>
      <w:r w:rsidRPr="00F448B4">
        <w:t xml:space="preserve">new childminders, </w:t>
      </w:r>
      <w:r w:rsidR="00F648FF">
        <w:t>supporting childminders</w:t>
      </w:r>
      <w:r w:rsidRPr="00F448B4">
        <w:t xml:space="preserve"> </w:t>
      </w:r>
      <w:r w:rsidR="00F648FF">
        <w:t xml:space="preserve">to </w:t>
      </w:r>
      <w:r w:rsidRPr="00F448B4">
        <w:t xml:space="preserve">offer </w:t>
      </w:r>
      <w:r>
        <w:t xml:space="preserve">and deliver </w:t>
      </w:r>
      <w:r w:rsidRPr="00F448B4">
        <w:t>30 hours</w:t>
      </w:r>
      <w:r w:rsidR="00F648FF">
        <w:t xml:space="preserve">, </w:t>
      </w:r>
      <w:r>
        <w:t xml:space="preserve">and </w:t>
      </w:r>
      <w:r w:rsidR="00F648FF">
        <w:t>increasing the retention of childminders</w:t>
      </w:r>
      <w:r>
        <w:t xml:space="preserve">. </w:t>
      </w:r>
    </w:p>
    <w:p w14:paraId="6562FD1A" w14:textId="6A07A43B" w:rsidR="00031B79" w:rsidRPr="00031B79" w:rsidRDefault="00031B79" w:rsidP="00E14B3B">
      <w:pPr>
        <w:jc w:val="both"/>
        <w:rPr>
          <w:i/>
        </w:rPr>
      </w:pPr>
      <w:r w:rsidRPr="00031B79">
        <w:rPr>
          <w:i/>
        </w:rPr>
        <w:t>Projects to share best p</w:t>
      </w:r>
      <w:r>
        <w:rPr>
          <w:i/>
        </w:rPr>
        <w:t>r</w:t>
      </w:r>
      <w:r w:rsidRPr="00031B79">
        <w:rPr>
          <w:i/>
        </w:rPr>
        <w:t>actice</w:t>
      </w:r>
    </w:p>
    <w:p w14:paraId="6213C724" w14:textId="05BA97D8" w:rsidR="00031B79" w:rsidRDefault="00031B79" w:rsidP="00E14B3B">
      <w:pPr>
        <w:jc w:val="both"/>
      </w:pPr>
      <w:r>
        <w:t>We also encourage LAs, where appropriate, to include a project(s) in their application form which seek</w:t>
      </w:r>
      <w:r w:rsidR="006F2102">
        <w:t>s</w:t>
      </w:r>
      <w:r>
        <w:t xml:space="preserve"> t</w:t>
      </w:r>
      <w:r w:rsidR="006F2102">
        <w:t>o share learning/</w:t>
      </w:r>
      <w:r>
        <w:t xml:space="preserve">best practice. We will consider providing funding where an LA can clearly evidence how they will use the money to share their expertise and support other LAs to secure sufficient 30 hours places. </w:t>
      </w:r>
    </w:p>
    <w:p w14:paraId="16EAD598" w14:textId="0C20940E" w:rsidR="00A852C1" w:rsidRDefault="00031B79" w:rsidP="00E14B3B">
      <w:pPr>
        <w:jc w:val="both"/>
      </w:pPr>
      <w:r>
        <w:t xml:space="preserve">Examples of the type of work that would be considered for funding are set out below. </w:t>
      </w:r>
      <w:r w:rsidRPr="00031B79">
        <w:rPr>
          <w:u w:val="single"/>
        </w:rPr>
        <w:t>This list is not exhaustive and is intended to be used as a guide.</w:t>
      </w:r>
    </w:p>
    <w:p w14:paraId="3FE54F26" w14:textId="77777777" w:rsidR="00A852C1" w:rsidRDefault="00031B79" w:rsidP="00E14B3B">
      <w:pPr>
        <w:pStyle w:val="ListParagraph"/>
        <w:numPr>
          <w:ilvl w:val="0"/>
          <w:numId w:val="37"/>
        </w:numPr>
        <w:jc w:val="both"/>
        <w:rPr>
          <w:b/>
        </w:rPr>
      </w:pPr>
      <w:r w:rsidRPr="00A852C1">
        <w:rPr>
          <w:b/>
        </w:rPr>
        <w:t>Business sustainability support in clusters</w:t>
      </w:r>
    </w:p>
    <w:p w14:paraId="20F7313C" w14:textId="5F7DD500" w:rsidR="00031B79" w:rsidRDefault="00031B79" w:rsidP="00E14B3B">
      <w:pPr>
        <w:pStyle w:val="ListParagraph"/>
        <w:numPr>
          <w:ilvl w:val="0"/>
          <w:numId w:val="0"/>
        </w:numPr>
        <w:ind w:left="720"/>
        <w:jc w:val="both"/>
      </w:pPr>
      <w:r>
        <w:t>Funding to support one LA to work with other LAs to provide business sustainability support to providers and share best practice across the region. The LA providing support could employ additional staf</w:t>
      </w:r>
      <w:r w:rsidR="00A852C1">
        <w:t>f to support the cluster model.</w:t>
      </w:r>
    </w:p>
    <w:p w14:paraId="79615A75" w14:textId="77777777" w:rsidR="00A852C1" w:rsidRPr="00A852C1" w:rsidRDefault="00A852C1" w:rsidP="00E14B3B">
      <w:pPr>
        <w:pStyle w:val="ListParagraph"/>
        <w:numPr>
          <w:ilvl w:val="0"/>
          <w:numId w:val="0"/>
        </w:numPr>
        <w:ind w:left="720"/>
        <w:jc w:val="both"/>
        <w:rPr>
          <w:b/>
        </w:rPr>
      </w:pPr>
    </w:p>
    <w:p w14:paraId="50894827" w14:textId="77777777" w:rsidR="00A852C1" w:rsidRDefault="00031B79" w:rsidP="00E14B3B">
      <w:pPr>
        <w:pStyle w:val="ListParagraph"/>
        <w:numPr>
          <w:ilvl w:val="0"/>
          <w:numId w:val="37"/>
        </w:numPr>
        <w:jc w:val="both"/>
        <w:rPr>
          <w:b/>
        </w:rPr>
      </w:pPr>
      <w:r w:rsidRPr="00A852C1">
        <w:rPr>
          <w:b/>
        </w:rPr>
        <w:t>Sharing best practice on provision for children with SEND</w:t>
      </w:r>
    </w:p>
    <w:p w14:paraId="00304D29" w14:textId="5645E9CE" w:rsidR="00031B79" w:rsidRDefault="00031B79" w:rsidP="00E14B3B">
      <w:pPr>
        <w:pStyle w:val="ListParagraph"/>
        <w:numPr>
          <w:ilvl w:val="0"/>
          <w:numId w:val="0"/>
        </w:numPr>
        <w:ind w:left="720"/>
        <w:jc w:val="both"/>
      </w:pPr>
      <w:r>
        <w:t xml:space="preserve">Funding to support an LA to share learning and best practice, or encourage collaboration in offering </w:t>
      </w:r>
      <w:r w:rsidR="009F385C">
        <w:t>30 hours</w:t>
      </w:r>
      <w:r>
        <w:t xml:space="preserve"> to children with SEND.  </w:t>
      </w:r>
    </w:p>
    <w:p w14:paraId="72049D72" w14:textId="77777777" w:rsidR="00A852C1" w:rsidRPr="00A852C1" w:rsidRDefault="00A852C1" w:rsidP="00E14B3B">
      <w:pPr>
        <w:pStyle w:val="ListParagraph"/>
        <w:numPr>
          <w:ilvl w:val="0"/>
          <w:numId w:val="0"/>
        </w:numPr>
        <w:ind w:left="720"/>
        <w:jc w:val="both"/>
        <w:rPr>
          <w:b/>
        </w:rPr>
      </w:pPr>
    </w:p>
    <w:p w14:paraId="4771C8CA" w14:textId="77777777" w:rsidR="00A852C1" w:rsidRPr="00A852C1" w:rsidRDefault="00031B79" w:rsidP="00E14B3B">
      <w:pPr>
        <w:pStyle w:val="ListParagraph"/>
        <w:numPr>
          <w:ilvl w:val="0"/>
          <w:numId w:val="37"/>
        </w:numPr>
        <w:jc w:val="both"/>
        <w:rPr>
          <w:b/>
        </w:rPr>
      </w:pPr>
      <w:r w:rsidRPr="00A852C1">
        <w:rPr>
          <w:b/>
        </w:rPr>
        <w:t xml:space="preserve">Innovation proposals </w:t>
      </w:r>
    </w:p>
    <w:p w14:paraId="28A0175E" w14:textId="54F1485C" w:rsidR="00031B79" w:rsidRDefault="00031B79" w:rsidP="00E14B3B">
      <w:pPr>
        <w:pStyle w:val="ListParagraph"/>
        <w:numPr>
          <w:ilvl w:val="0"/>
          <w:numId w:val="0"/>
        </w:numPr>
        <w:ind w:left="720"/>
        <w:jc w:val="both"/>
      </w:pPr>
      <w:r>
        <w:t xml:space="preserve">Funding for the development of innovative proposals that are focused on sharing best practice with other LAs, and will help a group of LAs to overcome sufficiency challenges. </w:t>
      </w:r>
    </w:p>
    <w:p w14:paraId="5A45E51E" w14:textId="77777777" w:rsidR="009F385C" w:rsidRDefault="009F385C" w:rsidP="00E14B3B">
      <w:pPr>
        <w:jc w:val="both"/>
        <w:rPr>
          <w:i/>
        </w:rPr>
      </w:pPr>
    </w:p>
    <w:p w14:paraId="68F950A9" w14:textId="77777777" w:rsidR="009F385C" w:rsidRDefault="009F385C" w:rsidP="00E14B3B">
      <w:pPr>
        <w:jc w:val="both"/>
        <w:rPr>
          <w:i/>
        </w:rPr>
      </w:pPr>
    </w:p>
    <w:p w14:paraId="33001F23" w14:textId="4800FD11" w:rsidR="00031B79" w:rsidRPr="00A852C1" w:rsidRDefault="00031B79" w:rsidP="00E14B3B">
      <w:pPr>
        <w:jc w:val="both"/>
        <w:rPr>
          <w:i/>
        </w:rPr>
      </w:pPr>
      <w:r w:rsidRPr="00A852C1">
        <w:rPr>
          <w:i/>
        </w:rPr>
        <w:t>Joint projects</w:t>
      </w:r>
    </w:p>
    <w:p w14:paraId="5F18981B" w14:textId="39542A56" w:rsidR="00031B79" w:rsidRDefault="00031B79" w:rsidP="00E14B3B">
      <w:pPr>
        <w:jc w:val="both"/>
      </w:pPr>
      <w:r>
        <w:t>We recognise that the supply and demand picture often spans LA boundaries, and that tackling issues and sharing best practice can be enhanced when projects are run as part of a consortia. Therefore, we welcome joint project</w:t>
      </w:r>
      <w:r w:rsidR="007A6352">
        <w:t>s</w:t>
      </w:r>
      <w:r>
        <w:t xml:space="preserve"> between LAs as part of an application. </w:t>
      </w:r>
    </w:p>
    <w:p w14:paraId="31070A5A" w14:textId="25B15CA1" w:rsidR="00031B79" w:rsidRDefault="00031B79" w:rsidP="00E14B3B">
      <w:pPr>
        <w:jc w:val="both"/>
      </w:pPr>
      <w:r>
        <w:t xml:space="preserve">To facilitate such bids, we ask that a single LA be nominated as the lead authority and submit the proposed project of behalf of the consortia in their application form. </w:t>
      </w:r>
    </w:p>
    <w:p w14:paraId="010F4C16" w14:textId="2FB9FC7B" w:rsidR="00031B79" w:rsidRDefault="00031B79" w:rsidP="00E14B3B">
      <w:pPr>
        <w:jc w:val="both"/>
      </w:pPr>
      <w:r>
        <w:t xml:space="preserve">We have provided specific sections on the application form for joint projects where the lead LA should provide detail of the project and other participating LAs should be named. </w:t>
      </w:r>
    </w:p>
    <w:p w14:paraId="00025A50" w14:textId="3B030E15" w:rsidR="00C27236" w:rsidRDefault="00031B79" w:rsidP="00E14B3B">
      <w:pPr>
        <w:jc w:val="both"/>
      </w:pPr>
      <w:r>
        <w:t>Lead LAs will still be able to request funding for projects that will benefit their LA only.</w:t>
      </w:r>
    </w:p>
    <w:p w14:paraId="095974B5" w14:textId="1792AEE2" w:rsidR="00A852C1" w:rsidRDefault="00A852C1" w:rsidP="00E14B3B">
      <w:pPr>
        <w:pStyle w:val="Heading4"/>
        <w:spacing w:before="0"/>
        <w:jc w:val="both"/>
      </w:pPr>
      <w:r>
        <w:t xml:space="preserve">3d) What is not eligible? </w:t>
      </w:r>
    </w:p>
    <w:p w14:paraId="434F5A91" w14:textId="2F366B6C" w:rsidR="00A852C1" w:rsidRPr="00A852C1" w:rsidRDefault="00A852C1" w:rsidP="008872DF">
      <w:pPr>
        <w:pStyle w:val="Heading4"/>
        <w:spacing w:before="0" w:line="276" w:lineRule="auto"/>
        <w:jc w:val="both"/>
        <w:rPr>
          <w:b w:val="0"/>
          <w:bCs w:val="0"/>
          <w:color w:val="0D0D0D" w:themeColor="text1" w:themeTint="F2"/>
          <w:szCs w:val="24"/>
        </w:rPr>
      </w:pPr>
      <w:r w:rsidRPr="00A852C1">
        <w:rPr>
          <w:b w:val="0"/>
          <w:bCs w:val="0"/>
          <w:color w:val="0D0D0D" w:themeColor="text1" w:themeTint="F2"/>
          <w:szCs w:val="24"/>
        </w:rPr>
        <w:t>We want to allocate funding to LAs for a variety of projects as we know that the issues faced by LAs will vary across the country depending on local circumstances. We will not fund anything that has not been mentioned as eligible in this guidance. This includes (but is not limited to):</w:t>
      </w:r>
    </w:p>
    <w:p w14:paraId="7F077074" w14:textId="6DCC6E98" w:rsidR="00A852C1" w:rsidRDefault="00A852C1" w:rsidP="00E14B3B">
      <w:pPr>
        <w:pStyle w:val="Heading4"/>
        <w:numPr>
          <w:ilvl w:val="0"/>
          <w:numId w:val="37"/>
        </w:numPr>
        <w:spacing w:before="0"/>
        <w:jc w:val="both"/>
        <w:rPr>
          <w:b w:val="0"/>
          <w:bCs w:val="0"/>
          <w:color w:val="0D0D0D" w:themeColor="text1" w:themeTint="F2"/>
          <w:szCs w:val="24"/>
        </w:rPr>
      </w:pPr>
      <w:r w:rsidRPr="00A852C1">
        <w:rPr>
          <w:b w:val="0"/>
          <w:bCs w:val="0"/>
          <w:color w:val="0D0D0D" w:themeColor="text1" w:themeTint="F2"/>
          <w:szCs w:val="24"/>
        </w:rPr>
        <w:t>Activities undertaken by an LA which do not dir</w:t>
      </w:r>
      <w:r w:rsidR="00B24866">
        <w:rPr>
          <w:b w:val="0"/>
          <w:bCs w:val="0"/>
          <w:color w:val="0D0D0D" w:themeColor="text1" w:themeTint="F2"/>
          <w:szCs w:val="24"/>
        </w:rPr>
        <w:t>ectly support 30 hours delivery</w:t>
      </w:r>
      <w:r w:rsidRPr="00A852C1">
        <w:rPr>
          <w:b w:val="0"/>
          <w:bCs w:val="0"/>
          <w:color w:val="0D0D0D" w:themeColor="text1" w:themeTint="F2"/>
          <w:szCs w:val="24"/>
        </w:rPr>
        <w:t xml:space="preserve"> </w:t>
      </w:r>
    </w:p>
    <w:p w14:paraId="3B3F76AB" w14:textId="35A3D617" w:rsidR="00A852C1" w:rsidRDefault="00A852C1" w:rsidP="00E14B3B">
      <w:pPr>
        <w:pStyle w:val="Heading4"/>
        <w:numPr>
          <w:ilvl w:val="0"/>
          <w:numId w:val="37"/>
        </w:numPr>
        <w:spacing w:before="0"/>
        <w:jc w:val="both"/>
        <w:rPr>
          <w:b w:val="0"/>
          <w:bCs w:val="0"/>
          <w:color w:val="0D0D0D" w:themeColor="text1" w:themeTint="F2"/>
          <w:szCs w:val="24"/>
        </w:rPr>
      </w:pPr>
      <w:r w:rsidRPr="00A852C1">
        <w:rPr>
          <w:b w:val="0"/>
          <w:bCs w:val="0"/>
          <w:color w:val="0D0D0D" w:themeColor="text1" w:themeTint="F2"/>
          <w:szCs w:val="24"/>
        </w:rPr>
        <w:t xml:space="preserve">Large scale capital funding. We </w:t>
      </w:r>
      <w:r w:rsidR="00B24866">
        <w:rPr>
          <w:b w:val="0"/>
          <w:bCs w:val="0"/>
          <w:color w:val="0D0D0D" w:themeColor="text1" w:themeTint="F2"/>
          <w:szCs w:val="24"/>
        </w:rPr>
        <w:t>do not expect to provide an</w:t>
      </w:r>
      <w:r w:rsidRPr="00A852C1">
        <w:rPr>
          <w:b w:val="0"/>
          <w:bCs w:val="0"/>
          <w:color w:val="0D0D0D" w:themeColor="text1" w:themeTint="F2"/>
          <w:szCs w:val="24"/>
        </w:rPr>
        <w:t xml:space="preserve"> LA with more than £10,000 in total of capital funding  </w:t>
      </w:r>
    </w:p>
    <w:p w14:paraId="4CE15287" w14:textId="111DD559" w:rsidR="00A852C1" w:rsidRDefault="00A852C1" w:rsidP="00E14B3B">
      <w:pPr>
        <w:pStyle w:val="Heading4"/>
        <w:numPr>
          <w:ilvl w:val="0"/>
          <w:numId w:val="37"/>
        </w:numPr>
        <w:spacing w:before="0"/>
        <w:jc w:val="both"/>
        <w:rPr>
          <w:b w:val="0"/>
          <w:bCs w:val="0"/>
          <w:color w:val="0D0D0D" w:themeColor="text1" w:themeTint="F2"/>
          <w:szCs w:val="24"/>
        </w:rPr>
      </w:pPr>
      <w:r w:rsidRPr="00A852C1">
        <w:rPr>
          <w:b w:val="0"/>
          <w:bCs w:val="0"/>
          <w:color w:val="0D0D0D" w:themeColor="text1" w:themeTint="F2"/>
          <w:szCs w:val="24"/>
        </w:rPr>
        <w:t>Funding for sustainability grants that an LA would distri</w:t>
      </w:r>
      <w:r w:rsidR="00513B64">
        <w:rPr>
          <w:b w:val="0"/>
          <w:bCs w:val="0"/>
          <w:color w:val="0D0D0D" w:themeColor="text1" w:themeTint="F2"/>
          <w:szCs w:val="24"/>
        </w:rPr>
        <w:t>bute directly to its providers</w:t>
      </w:r>
    </w:p>
    <w:p w14:paraId="428289DB" w14:textId="77777777" w:rsidR="00A852C1" w:rsidRDefault="00A852C1" w:rsidP="00E14B3B">
      <w:pPr>
        <w:pStyle w:val="Heading4"/>
        <w:numPr>
          <w:ilvl w:val="0"/>
          <w:numId w:val="37"/>
        </w:numPr>
        <w:spacing w:before="0"/>
        <w:jc w:val="both"/>
        <w:rPr>
          <w:b w:val="0"/>
          <w:bCs w:val="0"/>
          <w:color w:val="0D0D0D" w:themeColor="text1" w:themeTint="F2"/>
          <w:szCs w:val="24"/>
        </w:rPr>
      </w:pPr>
      <w:r w:rsidRPr="00A852C1">
        <w:rPr>
          <w:b w:val="0"/>
          <w:bCs w:val="0"/>
          <w:color w:val="0D0D0D" w:themeColor="text1" w:themeTint="F2"/>
          <w:szCs w:val="24"/>
        </w:rPr>
        <w:t>Subsidising core activities such as:</w:t>
      </w:r>
    </w:p>
    <w:p w14:paraId="0B054D8C" w14:textId="77777777" w:rsidR="00A852C1" w:rsidRPr="00A852C1" w:rsidRDefault="00A852C1" w:rsidP="00E14B3B">
      <w:pPr>
        <w:pStyle w:val="Heading4"/>
        <w:numPr>
          <w:ilvl w:val="1"/>
          <w:numId w:val="37"/>
        </w:numPr>
        <w:spacing w:before="0"/>
        <w:jc w:val="both"/>
        <w:rPr>
          <w:b w:val="0"/>
          <w:bCs w:val="0"/>
          <w:color w:val="0D0D0D" w:themeColor="text1" w:themeTint="F2"/>
          <w:szCs w:val="24"/>
        </w:rPr>
      </w:pPr>
      <w:r w:rsidRPr="00A852C1">
        <w:rPr>
          <w:b w:val="0"/>
          <w:bCs w:val="0"/>
          <w:color w:val="0D0D0D" w:themeColor="text1" w:themeTint="F2"/>
          <w:szCs w:val="24"/>
        </w:rPr>
        <w:t xml:space="preserve">Proposals that duplicate existing initiatives or activities </w:t>
      </w:r>
    </w:p>
    <w:p w14:paraId="7F4005F4" w14:textId="6A0CB878" w:rsidR="00A852C1" w:rsidRDefault="00A852C1" w:rsidP="00E14B3B">
      <w:pPr>
        <w:pStyle w:val="Heading4"/>
        <w:numPr>
          <w:ilvl w:val="1"/>
          <w:numId w:val="37"/>
        </w:numPr>
        <w:spacing w:before="0"/>
        <w:jc w:val="both"/>
        <w:rPr>
          <w:b w:val="0"/>
          <w:color w:val="0D0D0D" w:themeColor="text1" w:themeTint="F2"/>
          <w:szCs w:val="24"/>
        </w:rPr>
      </w:pPr>
      <w:r w:rsidRPr="00A852C1">
        <w:rPr>
          <w:b w:val="0"/>
          <w:color w:val="0D0D0D" w:themeColor="text1" w:themeTint="F2"/>
          <w:szCs w:val="24"/>
        </w:rPr>
        <w:t>Party political activities</w:t>
      </w:r>
    </w:p>
    <w:p w14:paraId="0494EB36" w14:textId="131B7FD6" w:rsidR="00A852C1" w:rsidRDefault="00A852C1" w:rsidP="00E14B3B">
      <w:pPr>
        <w:pStyle w:val="Heading4"/>
        <w:spacing w:before="0"/>
        <w:jc w:val="both"/>
      </w:pPr>
      <w:r>
        <w:t xml:space="preserve">3e) Reporting </w:t>
      </w:r>
    </w:p>
    <w:p w14:paraId="02AADBD3" w14:textId="77777777" w:rsidR="00A852C1" w:rsidRDefault="00A852C1" w:rsidP="00E14B3B">
      <w:pPr>
        <w:jc w:val="both"/>
      </w:pPr>
      <w:r>
        <w:t xml:space="preserve">All successful applicants will need to capture and share evidence on the impact of the funding with Childcare Works when requested. Successful applicants will be expected to complete and return termly Progress Review Forms to Childcare Works, and to complete the DfE’s termly headcount survey. </w:t>
      </w:r>
    </w:p>
    <w:p w14:paraId="2DE4DAE7" w14:textId="10A43423" w:rsidR="00A852C1" w:rsidRDefault="00A852C1" w:rsidP="00E14B3B">
      <w:pPr>
        <w:jc w:val="both"/>
      </w:pPr>
      <w:r>
        <w:t xml:space="preserve">We will also expect LAs to provide an update on the progress of their project on a monthly basis, through their ongoing engagement with Childcare Works and DfE. We will ask questions about the progress of the LAs project(s) and where appropriate, we </w:t>
      </w:r>
      <w:r w:rsidR="00374672">
        <w:t>will request data on the number</w:t>
      </w:r>
      <w:r>
        <w:t xml:space="preserve"> of places that have been created (directly or indirectly) as a result of the funded activity.</w:t>
      </w:r>
    </w:p>
    <w:p w14:paraId="2AD007DB" w14:textId="181C78EC" w:rsidR="00A852C1" w:rsidRDefault="00A852C1" w:rsidP="00E14B3B">
      <w:pPr>
        <w:jc w:val="both"/>
      </w:pPr>
      <w:r>
        <w:lastRenderedPageBreak/>
        <w:t>LAs will be asked to submit a short report in autumn 201</w:t>
      </w:r>
      <w:r w:rsidR="00957981">
        <w:t>8 which will request</w:t>
      </w:r>
      <w:r>
        <w:t xml:space="preserve"> evidence that the LA has met the project success criteria. </w:t>
      </w:r>
    </w:p>
    <w:p w14:paraId="2EB7349C" w14:textId="77777777" w:rsidR="00A852C1" w:rsidRDefault="00A852C1" w:rsidP="00E14B3B">
      <w:pPr>
        <w:jc w:val="both"/>
      </w:pPr>
      <w:r>
        <w:t>We may also ask you to:</w:t>
      </w:r>
    </w:p>
    <w:p w14:paraId="79B8F487" w14:textId="77777777" w:rsidR="00A852C1" w:rsidRDefault="00A852C1" w:rsidP="00E14B3B">
      <w:pPr>
        <w:pStyle w:val="ListParagraph"/>
        <w:numPr>
          <w:ilvl w:val="0"/>
          <w:numId w:val="38"/>
        </w:numPr>
        <w:jc w:val="both"/>
      </w:pPr>
      <w:r>
        <w:t>Contribute case studies to the Department for Education</w:t>
      </w:r>
    </w:p>
    <w:p w14:paraId="2103EB4B" w14:textId="29A9FF6E" w:rsidR="00A852C1" w:rsidRPr="00A852C1" w:rsidRDefault="00A852C1" w:rsidP="00E14B3B">
      <w:pPr>
        <w:pStyle w:val="ListParagraph"/>
        <w:numPr>
          <w:ilvl w:val="0"/>
          <w:numId w:val="38"/>
        </w:numPr>
        <w:jc w:val="both"/>
      </w:pPr>
      <w:r>
        <w:t>Attend local and national learning events to share updates</w:t>
      </w:r>
    </w:p>
    <w:p w14:paraId="050DD18D" w14:textId="77777777" w:rsidR="00A852C1" w:rsidRPr="00A852C1" w:rsidRDefault="00A852C1" w:rsidP="00E14B3B">
      <w:pPr>
        <w:jc w:val="both"/>
      </w:pPr>
    </w:p>
    <w:p w14:paraId="0B171EE9" w14:textId="1029F283" w:rsidR="00C27236" w:rsidRDefault="00A852C1" w:rsidP="00E14B3B">
      <w:pPr>
        <w:pStyle w:val="Heading1"/>
        <w:numPr>
          <w:ilvl w:val="0"/>
          <w:numId w:val="33"/>
        </w:numPr>
        <w:jc w:val="both"/>
      </w:pPr>
      <w:bookmarkStart w:id="1" w:name="_Toc386029189"/>
      <w:bookmarkStart w:id="2" w:name="_Toc385406062"/>
      <w:bookmarkStart w:id="3" w:name="_Toc398721465"/>
      <w:bookmarkStart w:id="4" w:name="_Toc455483560"/>
      <w:r>
        <w:lastRenderedPageBreak/>
        <w:t xml:space="preserve">Application process </w:t>
      </w:r>
    </w:p>
    <w:p w14:paraId="62236DD6" w14:textId="74C26846" w:rsidR="00C27236" w:rsidRDefault="00A852C1" w:rsidP="00E14B3B">
      <w:pPr>
        <w:pStyle w:val="Heading4"/>
        <w:spacing w:before="0"/>
        <w:jc w:val="both"/>
      </w:pPr>
      <w:r>
        <w:t>4</w:t>
      </w:r>
      <w:r w:rsidR="00C27236">
        <w:t xml:space="preserve">a) </w:t>
      </w:r>
      <w:r>
        <w:t xml:space="preserve">How to apply </w:t>
      </w:r>
    </w:p>
    <w:p w14:paraId="18849058" w14:textId="5487BBB6" w:rsidR="00A852C1" w:rsidRPr="00A852C1" w:rsidRDefault="00A852C1" w:rsidP="00E14B3B">
      <w:pPr>
        <w:pStyle w:val="Caption"/>
        <w:spacing w:before="0" w:after="240"/>
        <w:jc w:val="both"/>
        <w:rPr>
          <w:b w:val="0"/>
          <w:sz w:val="24"/>
          <w:szCs w:val="24"/>
        </w:rPr>
      </w:pPr>
      <w:r w:rsidRPr="00A852C1">
        <w:rPr>
          <w:b w:val="0"/>
          <w:sz w:val="24"/>
          <w:szCs w:val="24"/>
        </w:rPr>
        <w:t>The bid round will be open from Friday 17th Nov</w:t>
      </w:r>
      <w:r w:rsidR="00C70089">
        <w:rPr>
          <w:b w:val="0"/>
          <w:sz w:val="24"/>
          <w:szCs w:val="24"/>
        </w:rPr>
        <w:t>ember 2017</w:t>
      </w:r>
      <w:r w:rsidRPr="00A852C1">
        <w:rPr>
          <w:b w:val="0"/>
          <w:sz w:val="24"/>
          <w:szCs w:val="24"/>
        </w:rPr>
        <w:t xml:space="preserve"> and will close at 23:59pm on Friday 15th December 2017. Key dates and deadlines for the application process are set out in the table below.</w:t>
      </w:r>
    </w:p>
    <w:tbl>
      <w:tblPr>
        <w:tblStyle w:val="TableGrid"/>
        <w:tblW w:w="9721" w:type="dxa"/>
        <w:tblLook w:val="00A0" w:firstRow="1" w:lastRow="0" w:firstColumn="1" w:lastColumn="0" w:noHBand="0" w:noVBand="0"/>
        <w:tblCaption w:val="Key dates and deadlines"/>
      </w:tblPr>
      <w:tblGrid>
        <w:gridCol w:w="5608"/>
        <w:gridCol w:w="4113"/>
      </w:tblGrid>
      <w:tr w:rsidR="00A852C1" w:rsidRPr="00A852C1" w14:paraId="62D77650" w14:textId="77777777" w:rsidTr="00577483">
        <w:trPr>
          <w:trHeight w:val="459"/>
          <w:tblHeader/>
        </w:trPr>
        <w:tc>
          <w:tcPr>
            <w:tcW w:w="0" w:type="auto"/>
            <w:shd w:val="clear" w:color="auto" w:fill="CFDCE3"/>
          </w:tcPr>
          <w:p w14:paraId="5CFFE5E9" w14:textId="77777777" w:rsidR="00A852C1" w:rsidRPr="00A852C1" w:rsidRDefault="00A852C1" w:rsidP="00E14B3B">
            <w:pPr>
              <w:spacing w:line="240" w:lineRule="auto"/>
              <w:ind w:left="57" w:right="57"/>
              <w:jc w:val="both"/>
              <w:rPr>
                <w:b/>
                <w:color w:val="0D0D0D"/>
              </w:rPr>
            </w:pPr>
            <w:r w:rsidRPr="00A852C1">
              <w:rPr>
                <w:b/>
                <w:color w:val="auto"/>
              </w:rPr>
              <w:t>Milestones</w:t>
            </w:r>
            <w:r w:rsidRPr="00A852C1">
              <w:rPr>
                <w:b/>
                <w:color w:val="0D0D0D"/>
              </w:rPr>
              <w:t xml:space="preserve"> </w:t>
            </w:r>
          </w:p>
        </w:tc>
        <w:tc>
          <w:tcPr>
            <w:tcW w:w="4113" w:type="dxa"/>
            <w:shd w:val="clear" w:color="auto" w:fill="CFDCE3"/>
          </w:tcPr>
          <w:p w14:paraId="6024121B" w14:textId="77777777" w:rsidR="00A852C1" w:rsidRPr="00A852C1" w:rsidRDefault="00A852C1" w:rsidP="00E14B3B">
            <w:pPr>
              <w:spacing w:line="240" w:lineRule="auto"/>
              <w:ind w:left="57" w:right="57"/>
              <w:jc w:val="both"/>
              <w:rPr>
                <w:b/>
                <w:color w:val="0D0D0D"/>
              </w:rPr>
            </w:pPr>
            <w:r w:rsidRPr="00A852C1">
              <w:rPr>
                <w:b/>
                <w:color w:val="0D0D0D"/>
              </w:rPr>
              <w:t>Dates</w:t>
            </w:r>
          </w:p>
        </w:tc>
      </w:tr>
      <w:tr w:rsidR="00A852C1" w:rsidRPr="00A852C1" w14:paraId="06F5FC0B" w14:textId="77777777" w:rsidTr="00577483">
        <w:trPr>
          <w:trHeight w:val="459"/>
        </w:trPr>
        <w:tc>
          <w:tcPr>
            <w:tcW w:w="0" w:type="auto"/>
          </w:tcPr>
          <w:p w14:paraId="7EE2D977" w14:textId="77777777" w:rsidR="00A852C1" w:rsidRPr="00A852C1" w:rsidRDefault="00A852C1" w:rsidP="00E14B3B">
            <w:pPr>
              <w:spacing w:line="240" w:lineRule="auto"/>
              <w:ind w:left="57" w:right="57"/>
              <w:jc w:val="both"/>
              <w:rPr>
                <w:color w:val="0D0D0D"/>
              </w:rPr>
            </w:pPr>
            <w:r w:rsidRPr="00A852C1">
              <w:rPr>
                <w:color w:val="0D0D0D"/>
              </w:rPr>
              <w:t>Bid round for the Delivery Support Fund opens</w:t>
            </w:r>
            <w:r w:rsidRPr="00A852C1">
              <w:rPr>
                <w:color w:val="0D0D0D"/>
              </w:rPr>
              <w:tab/>
            </w:r>
          </w:p>
        </w:tc>
        <w:tc>
          <w:tcPr>
            <w:tcW w:w="4113" w:type="dxa"/>
          </w:tcPr>
          <w:p w14:paraId="5FBD947A" w14:textId="77777777" w:rsidR="00A852C1" w:rsidRPr="00A852C1" w:rsidRDefault="00A852C1" w:rsidP="00E14B3B">
            <w:pPr>
              <w:spacing w:line="240" w:lineRule="auto"/>
              <w:ind w:left="57" w:right="57"/>
              <w:jc w:val="both"/>
              <w:rPr>
                <w:color w:val="0D0D0D"/>
              </w:rPr>
            </w:pPr>
            <w:r w:rsidRPr="00A852C1">
              <w:rPr>
                <w:color w:val="0D0D0D"/>
              </w:rPr>
              <w:t>17</w:t>
            </w:r>
            <w:r w:rsidRPr="00A852C1">
              <w:rPr>
                <w:color w:val="0D0D0D"/>
                <w:vertAlign w:val="superscript"/>
              </w:rPr>
              <w:t>th</w:t>
            </w:r>
            <w:r w:rsidRPr="00A852C1">
              <w:rPr>
                <w:color w:val="0D0D0D"/>
              </w:rPr>
              <w:t xml:space="preserve"> November 2017</w:t>
            </w:r>
          </w:p>
        </w:tc>
      </w:tr>
      <w:tr w:rsidR="00A852C1" w:rsidRPr="00A852C1" w14:paraId="77A13D9B" w14:textId="77777777" w:rsidTr="00577483">
        <w:trPr>
          <w:trHeight w:val="459"/>
        </w:trPr>
        <w:tc>
          <w:tcPr>
            <w:tcW w:w="0" w:type="auto"/>
          </w:tcPr>
          <w:p w14:paraId="25D2DECE" w14:textId="77777777" w:rsidR="00A852C1" w:rsidRPr="00A852C1" w:rsidRDefault="00A852C1" w:rsidP="00E14B3B">
            <w:pPr>
              <w:spacing w:line="240" w:lineRule="auto"/>
              <w:ind w:left="57" w:right="57"/>
              <w:jc w:val="both"/>
              <w:rPr>
                <w:color w:val="0D0D0D"/>
              </w:rPr>
            </w:pPr>
            <w:r w:rsidRPr="00A852C1">
              <w:rPr>
                <w:color w:val="0D0D0D"/>
              </w:rPr>
              <w:t xml:space="preserve">Bid round for the Delivery Support Fund closes </w:t>
            </w:r>
          </w:p>
        </w:tc>
        <w:tc>
          <w:tcPr>
            <w:tcW w:w="4113" w:type="dxa"/>
          </w:tcPr>
          <w:p w14:paraId="25BA5024" w14:textId="77777777" w:rsidR="00A852C1" w:rsidRPr="00A852C1" w:rsidRDefault="00A852C1" w:rsidP="00E14B3B">
            <w:pPr>
              <w:spacing w:line="240" w:lineRule="auto"/>
              <w:ind w:left="57" w:right="57"/>
              <w:jc w:val="both"/>
              <w:rPr>
                <w:color w:val="0D0D0D"/>
              </w:rPr>
            </w:pPr>
            <w:r w:rsidRPr="00A852C1">
              <w:rPr>
                <w:color w:val="auto"/>
              </w:rPr>
              <w:t>15</w:t>
            </w:r>
            <w:r w:rsidRPr="00A852C1">
              <w:rPr>
                <w:color w:val="auto"/>
                <w:vertAlign w:val="superscript"/>
              </w:rPr>
              <w:t>th</w:t>
            </w:r>
            <w:r w:rsidRPr="00A852C1">
              <w:rPr>
                <w:color w:val="auto"/>
              </w:rPr>
              <w:t xml:space="preserve"> December 2017</w:t>
            </w:r>
          </w:p>
        </w:tc>
      </w:tr>
      <w:tr w:rsidR="00A852C1" w:rsidRPr="00A852C1" w14:paraId="47D2DF4C" w14:textId="77777777" w:rsidTr="00577483">
        <w:trPr>
          <w:trHeight w:val="459"/>
        </w:trPr>
        <w:tc>
          <w:tcPr>
            <w:tcW w:w="0" w:type="auto"/>
          </w:tcPr>
          <w:p w14:paraId="7FC55CEA" w14:textId="77777777" w:rsidR="00A852C1" w:rsidRPr="00A852C1" w:rsidRDefault="00A852C1" w:rsidP="00E14B3B">
            <w:pPr>
              <w:spacing w:line="240" w:lineRule="auto"/>
              <w:ind w:left="57" w:right="57"/>
              <w:jc w:val="both"/>
              <w:rPr>
                <w:color w:val="0D0D0D"/>
              </w:rPr>
            </w:pPr>
            <w:r w:rsidRPr="00A852C1">
              <w:rPr>
                <w:color w:val="auto"/>
              </w:rPr>
              <w:t xml:space="preserve">Assessment of applications  </w:t>
            </w:r>
          </w:p>
        </w:tc>
        <w:tc>
          <w:tcPr>
            <w:tcW w:w="4113" w:type="dxa"/>
          </w:tcPr>
          <w:p w14:paraId="518A75B7" w14:textId="77777777" w:rsidR="00A852C1" w:rsidRPr="00A852C1" w:rsidRDefault="00A852C1" w:rsidP="00E14B3B">
            <w:pPr>
              <w:spacing w:line="240" w:lineRule="auto"/>
              <w:ind w:left="57" w:right="57"/>
              <w:jc w:val="both"/>
              <w:rPr>
                <w:color w:val="0D0D0D"/>
              </w:rPr>
            </w:pPr>
            <w:r w:rsidRPr="00A852C1">
              <w:rPr>
                <w:color w:val="0D0D0D"/>
              </w:rPr>
              <w:t>January 2018</w:t>
            </w:r>
          </w:p>
        </w:tc>
      </w:tr>
      <w:tr w:rsidR="00A852C1" w:rsidRPr="00A852C1" w14:paraId="28FD712A" w14:textId="77777777" w:rsidTr="00577483">
        <w:trPr>
          <w:trHeight w:val="459"/>
        </w:trPr>
        <w:tc>
          <w:tcPr>
            <w:tcW w:w="0" w:type="auto"/>
          </w:tcPr>
          <w:p w14:paraId="7FCD3D13" w14:textId="77777777" w:rsidR="00A852C1" w:rsidRPr="00A852C1" w:rsidRDefault="00A852C1" w:rsidP="00E14B3B">
            <w:pPr>
              <w:spacing w:line="240" w:lineRule="auto"/>
              <w:ind w:left="57" w:right="57"/>
              <w:jc w:val="both"/>
              <w:rPr>
                <w:color w:val="0D0D0D"/>
              </w:rPr>
            </w:pPr>
            <w:r w:rsidRPr="00A852C1">
              <w:rPr>
                <w:color w:val="auto"/>
              </w:rPr>
              <w:t>Decisions on applications announced</w:t>
            </w:r>
          </w:p>
        </w:tc>
        <w:tc>
          <w:tcPr>
            <w:tcW w:w="4113" w:type="dxa"/>
          </w:tcPr>
          <w:p w14:paraId="7FACF344" w14:textId="77777777" w:rsidR="00A852C1" w:rsidRPr="00A852C1" w:rsidRDefault="00A852C1" w:rsidP="00E14B3B">
            <w:pPr>
              <w:spacing w:line="240" w:lineRule="auto"/>
              <w:ind w:left="57" w:right="57"/>
              <w:jc w:val="both"/>
              <w:rPr>
                <w:color w:val="0D0D0D"/>
              </w:rPr>
            </w:pPr>
            <w:r w:rsidRPr="00A852C1">
              <w:rPr>
                <w:color w:val="0D0D0D"/>
              </w:rPr>
              <w:t>February 2018</w:t>
            </w:r>
          </w:p>
        </w:tc>
      </w:tr>
      <w:tr w:rsidR="00A852C1" w:rsidRPr="00A852C1" w14:paraId="22780AC6" w14:textId="77777777" w:rsidTr="00577483">
        <w:trPr>
          <w:trHeight w:val="459"/>
        </w:trPr>
        <w:tc>
          <w:tcPr>
            <w:tcW w:w="0" w:type="auto"/>
          </w:tcPr>
          <w:p w14:paraId="1DEB1CAB" w14:textId="77777777" w:rsidR="00A852C1" w:rsidRPr="00A852C1" w:rsidRDefault="00A852C1" w:rsidP="00E14B3B">
            <w:pPr>
              <w:spacing w:line="240" w:lineRule="auto"/>
              <w:ind w:left="57" w:right="57"/>
              <w:jc w:val="both"/>
              <w:rPr>
                <w:color w:val="auto"/>
              </w:rPr>
            </w:pPr>
            <w:r w:rsidRPr="00A852C1">
              <w:rPr>
                <w:color w:val="auto"/>
              </w:rPr>
              <w:t>Funding distributed to LAs</w:t>
            </w:r>
          </w:p>
        </w:tc>
        <w:tc>
          <w:tcPr>
            <w:tcW w:w="4113" w:type="dxa"/>
          </w:tcPr>
          <w:p w14:paraId="5FB79FBD" w14:textId="77777777" w:rsidR="00A852C1" w:rsidRPr="00A852C1" w:rsidRDefault="00A852C1" w:rsidP="00E14B3B">
            <w:pPr>
              <w:spacing w:line="240" w:lineRule="auto"/>
              <w:ind w:left="57" w:right="57"/>
              <w:jc w:val="both"/>
              <w:rPr>
                <w:color w:val="0D0D0D"/>
              </w:rPr>
            </w:pPr>
            <w:r w:rsidRPr="00A852C1">
              <w:rPr>
                <w:color w:val="0D0D0D"/>
              </w:rPr>
              <w:t>March 2018</w:t>
            </w:r>
          </w:p>
        </w:tc>
      </w:tr>
      <w:tr w:rsidR="00A852C1" w:rsidRPr="00A852C1" w14:paraId="4CA2F2FB" w14:textId="77777777" w:rsidTr="00577483">
        <w:trPr>
          <w:trHeight w:val="459"/>
        </w:trPr>
        <w:tc>
          <w:tcPr>
            <w:tcW w:w="0" w:type="auto"/>
          </w:tcPr>
          <w:p w14:paraId="72422418" w14:textId="77777777" w:rsidR="00A852C1" w:rsidRPr="00A852C1" w:rsidRDefault="00A852C1" w:rsidP="00E14B3B">
            <w:pPr>
              <w:spacing w:line="240" w:lineRule="auto"/>
              <w:ind w:left="57" w:right="57"/>
              <w:jc w:val="both"/>
              <w:rPr>
                <w:color w:val="auto"/>
              </w:rPr>
            </w:pPr>
            <w:r w:rsidRPr="00A852C1">
              <w:rPr>
                <w:color w:val="auto"/>
              </w:rPr>
              <w:t>Funding spent by LAs</w:t>
            </w:r>
          </w:p>
        </w:tc>
        <w:tc>
          <w:tcPr>
            <w:tcW w:w="4113" w:type="dxa"/>
          </w:tcPr>
          <w:p w14:paraId="6E6FA893" w14:textId="77777777" w:rsidR="00A852C1" w:rsidRPr="00A852C1" w:rsidRDefault="00A852C1" w:rsidP="00E14B3B">
            <w:pPr>
              <w:spacing w:line="240" w:lineRule="auto"/>
              <w:ind w:left="57" w:right="57"/>
              <w:jc w:val="both"/>
              <w:rPr>
                <w:color w:val="0D0D0D"/>
              </w:rPr>
            </w:pPr>
            <w:r w:rsidRPr="00A852C1">
              <w:rPr>
                <w:color w:val="0D0D0D"/>
              </w:rPr>
              <w:t>By 31</w:t>
            </w:r>
            <w:r w:rsidRPr="00A852C1">
              <w:rPr>
                <w:color w:val="0D0D0D"/>
                <w:vertAlign w:val="superscript"/>
              </w:rPr>
              <w:t>st</w:t>
            </w:r>
            <w:r w:rsidRPr="00A852C1">
              <w:rPr>
                <w:color w:val="0D0D0D"/>
              </w:rPr>
              <w:t xml:space="preserve"> August 2018 </w:t>
            </w:r>
          </w:p>
        </w:tc>
      </w:tr>
    </w:tbl>
    <w:p w14:paraId="0DEC5033" w14:textId="77777777" w:rsidR="00E3469E" w:rsidRDefault="00E3469E" w:rsidP="00E14B3B">
      <w:pPr>
        <w:pStyle w:val="Heading4"/>
        <w:spacing w:before="0"/>
        <w:jc w:val="both"/>
      </w:pPr>
    </w:p>
    <w:p w14:paraId="1CA085A7" w14:textId="5E7A1E61" w:rsidR="00A852C1" w:rsidRDefault="00A852C1" w:rsidP="00E14B3B">
      <w:pPr>
        <w:pStyle w:val="Heading4"/>
        <w:spacing w:before="0"/>
        <w:jc w:val="both"/>
      </w:pPr>
      <w:r>
        <w:t xml:space="preserve">4b) Queries </w:t>
      </w:r>
    </w:p>
    <w:p w14:paraId="3669B019" w14:textId="48BA2F27" w:rsidR="00A852C1" w:rsidRPr="00A852C1" w:rsidRDefault="00A852C1" w:rsidP="00E14B3B">
      <w:pPr>
        <w:pStyle w:val="Caption"/>
        <w:spacing w:before="0" w:after="240"/>
        <w:jc w:val="both"/>
        <w:rPr>
          <w:b w:val="0"/>
          <w:sz w:val="24"/>
        </w:rPr>
      </w:pPr>
      <w:r w:rsidRPr="00A852C1">
        <w:rPr>
          <w:b w:val="0"/>
          <w:sz w:val="24"/>
        </w:rPr>
        <w:t xml:space="preserve">Please check the FAQs document which has been issued alongside this guidance form. If the FAQs document does not answer your query about your application form, please contact </w:t>
      </w:r>
      <w:hyperlink r:id="rId14" w:history="1">
        <w:r w:rsidR="00437A55" w:rsidRPr="00C90981">
          <w:rPr>
            <w:rStyle w:val="Hyperlink"/>
            <w:b w:val="0"/>
          </w:rPr>
          <w:t>30HrsDelivery.SupportFund@education.gov.uk</w:t>
        </w:r>
      </w:hyperlink>
      <w:r w:rsidR="00437A55">
        <w:rPr>
          <w:b w:val="0"/>
          <w:sz w:val="24"/>
        </w:rPr>
        <w:t xml:space="preserve"> </w:t>
      </w:r>
    </w:p>
    <w:p w14:paraId="2DE2BDF6" w14:textId="0F9583E7" w:rsidR="00BE5ED1" w:rsidRPr="00A852C1" w:rsidRDefault="00A852C1" w:rsidP="00E14B3B">
      <w:pPr>
        <w:pStyle w:val="Caption"/>
        <w:spacing w:before="0" w:after="240"/>
        <w:jc w:val="both"/>
        <w:rPr>
          <w:b w:val="0"/>
          <w:sz w:val="24"/>
        </w:rPr>
      </w:pPr>
      <w:r w:rsidRPr="00A852C1">
        <w:rPr>
          <w:b w:val="0"/>
          <w:sz w:val="24"/>
        </w:rPr>
        <w:t>We will endeavour to respond to all queries within 3 working days.</w:t>
      </w:r>
    </w:p>
    <w:p w14:paraId="04C100E2" w14:textId="24BA4A3C" w:rsidR="00437A55" w:rsidRDefault="00437A55" w:rsidP="00E14B3B">
      <w:pPr>
        <w:pStyle w:val="Heading4"/>
        <w:spacing w:before="0"/>
        <w:jc w:val="both"/>
      </w:pPr>
      <w:r>
        <w:t xml:space="preserve">4c) Submitting your application </w:t>
      </w:r>
    </w:p>
    <w:p w14:paraId="6661DDE6" w14:textId="30E91E4C" w:rsidR="00817AF3" w:rsidRDefault="00437A55" w:rsidP="00E14B3B">
      <w:pPr>
        <w:pStyle w:val="Caption"/>
        <w:spacing w:before="0" w:after="240"/>
        <w:jc w:val="both"/>
        <w:rPr>
          <w:b w:val="0"/>
          <w:sz w:val="24"/>
          <w:szCs w:val="24"/>
        </w:rPr>
      </w:pPr>
      <w:r w:rsidRPr="00437A55">
        <w:rPr>
          <w:b w:val="0"/>
          <w:sz w:val="24"/>
          <w:szCs w:val="24"/>
        </w:rPr>
        <w:t xml:space="preserve">Please email a single Word or PDF version of your completed application form to </w:t>
      </w:r>
      <w:hyperlink r:id="rId15" w:history="1">
        <w:r w:rsidR="0051693A" w:rsidRPr="000641F4">
          <w:rPr>
            <w:rStyle w:val="Hyperlink"/>
            <w:b w:val="0"/>
            <w:szCs w:val="24"/>
          </w:rPr>
          <w:t>30HrsDelivery.SupportFund@education.gov.uk</w:t>
        </w:r>
      </w:hyperlink>
      <w:r w:rsidR="0051693A">
        <w:rPr>
          <w:b w:val="0"/>
          <w:sz w:val="24"/>
          <w:szCs w:val="24"/>
        </w:rPr>
        <w:t xml:space="preserve"> </w:t>
      </w:r>
      <w:r w:rsidRPr="00437A55">
        <w:rPr>
          <w:b w:val="0"/>
          <w:sz w:val="24"/>
          <w:szCs w:val="24"/>
        </w:rPr>
        <w:t xml:space="preserve">by 23:59pm on Friday 15th December 2017. </w:t>
      </w:r>
    </w:p>
    <w:p w14:paraId="15F43AA6" w14:textId="5907D957" w:rsidR="00817AF3" w:rsidRDefault="00437A55" w:rsidP="00E14B3B">
      <w:pPr>
        <w:pStyle w:val="Caption"/>
        <w:spacing w:before="0" w:after="240"/>
        <w:jc w:val="both"/>
        <w:rPr>
          <w:b w:val="0"/>
          <w:sz w:val="24"/>
          <w:szCs w:val="24"/>
        </w:rPr>
      </w:pPr>
      <w:r w:rsidRPr="00437A55">
        <w:rPr>
          <w:b w:val="0"/>
          <w:sz w:val="24"/>
          <w:szCs w:val="24"/>
        </w:rPr>
        <w:t>Your LA name and the words ’30 Hours Delivery Support Fund’ should be included in the email “subject” field when submitting your application.</w:t>
      </w:r>
    </w:p>
    <w:p w14:paraId="43F02CB1" w14:textId="0E99B089" w:rsidR="00437A55" w:rsidRDefault="00437A55" w:rsidP="00E14B3B">
      <w:pPr>
        <w:pStyle w:val="Caption"/>
        <w:spacing w:before="0" w:after="240"/>
        <w:jc w:val="both"/>
        <w:rPr>
          <w:b w:val="0"/>
          <w:sz w:val="24"/>
          <w:szCs w:val="24"/>
        </w:rPr>
      </w:pPr>
      <w:r w:rsidRPr="00437A55">
        <w:rPr>
          <w:b w:val="0"/>
          <w:sz w:val="24"/>
          <w:szCs w:val="24"/>
        </w:rPr>
        <w:t>Once submitted, you will receive an automatic email response informing you that your applicati</w:t>
      </w:r>
      <w:r w:rsidR="00D8441C">
        <w:rPr>
          <w:b w:val="0"/>
          <w:sz w:val="24"/>
          <w:szCs w:val="24"/>
        </w:rPr>
        <w:t>on has</w:t>
      </w:r>
      <w:r w:rsidRPr="00437A55">
        <w:rPr>
          <w:b w:val="0"/>
          <w:sz w:val="24"/>
          <w:szCs w:val="24"/>
        </w:rPr>
        <w:t xml:space="preserve"> been received.   </w:t>
      </w:r>
    </w:p>
    <w:p w14:paraId="7C2F32FF" w14:textId="53426ABC" w:rsidR="00437A55" w:rsidRDefault="00437A55" w:rsidP="00E14B3B">
      <w:pPr>
        <w:pStyle w:val="Heading4"/>
        <w:spacing w:before="0"/>
        <w:jc w:val="both"/>
      </w:pPr>
      <w:r>
        <w:t xml:space="preserve">4d) Application form  </w:t>
      </w:r>
    </w:p>
    <w:p w14:paraId="295BAE40" w14:textId="7452CDA2" w:rsidR="00437A55" w:rsidRPr="00437A55" w:rsidRDefault="00437A55" w:rsidP="00E14B3B">
      <w:pPr>
        <w:jc w:val="both"/>
      </w:pPr>
      <w:r w:rsidRPr="00437A55">
        <w:t>Application forms should be succinct and must be within the word limit provided for each section. You will be asked to provide the following information:</w:t>
      </w:r>
    </w:p>
    <w:p w14:paraId="6646D5A1" w14:textId="77777777" w:rsidR="00437A55" w:rsidRDefault="00437A55" w:rsidP="00E14B3B">
      <w:pPr>
        <w:pStyle w:val="Heading4"/>
        <w:numPr>
          <w:ilvl w:val="0"/>
          <w:numId w:val="39"/>
        </w:numPr>
        <w:spacing w:before="0"/>
        <w:jc w:val="both"/>
        <w:rPr>
          <w:b w:val="0"/>
          <w:bCs w:val="0"/>
          <w:color w:val="0D0D0D" w:themeColor="text1" w:themeTint="F2"/>
          <w:szCs w:val="24"/>
        </w:rPr>
      </w:pPr>
      <w:r w:rsidRPr="00437A55">
        <w:rPr>
          <w:b w:val="0"/>
          <w:bCs w:val="0"/>
          <w:color w:val="0D0D0D" w:themeColor="text1" w:themeTint="F2"/>
          <w:szCs w:val="24"/>
        </w:rPr>
        <w:lastRenderedPageBreak/>
        <w:t xml:space="preserve">Breakdown of costs </w:t>
      </w:r>
    </w:p>
    <w:p w14:paraId="6453AA64" w14:textId="77777777" w:rsidR="00437A55" w:rsidRDefault="00437A55" w:rsidP="00E14B3B">
      <w:pPr>
        <w:pStyle w:val="Heading4"/>
        <w:numPr>
          <w:ilvl w:val="0"/>
          <w:numId w:val="39"/>
        </w:numPr>
        <w:spacing w:before="0"/>
        <w:jc w:val="both"/>
        <w:rPr>
          <w:b w:val="0"/>
          <w:bCs w:val="0"/>
          <w:color w:val="0D0D0D" w:themeColor="text1" w:themeTint="F2"/>
          <w:szCs w:val="24"/>
        </w:rPr>
      </w:pPr>
      <w:r w:rsidRPr="00437A55">
        <w:rPr>
          <w:b w:val="0"/>
          <w:bCs w:val="0"/>
          <w:color w:val="0D0D0D" w:themeColor="text1" w:themeTint="F2"/>
          <w:szCs w:val="24"/>
        </w:rPr>
        <w:t>Evidence of local delivery needs (max 500 words)</w:t>
      </w:r>
    </w:p>
    <w:p w14:paraId="3179ADDE" w14:textId="77777777" w:rsidR="00437A55" w:rsidRDefault="00437A55" w:rsidP="00E14B3B">
      <w:pPr>
        <w:pStyle w:val="Heading4"/>
        <w:numPr>
          <w:ilvl w:val="0"/>
          <w:numId w:val="39"/>
        </w:numPr>
        <w:spacing w:before="0"/>
        <w:jc w:val="both"/>
        <w:rPr>
          <w:b w:val="0"/>
          <w:bCs w:val="0"/>
          <w:color w:val="0D0D0D" w:themeColor="text1" w:themeTint="F2"/>
          <w:szCs w:val="24"/>
        </w:rPr>
      </w:pPr>
      <w:r w:rsidRPr="00437A55">
        <w:rPr>
          <w:b w:val="0"/>
          <w:bCs w:val="0"/>
          <w:color w:val="0D0D0D" w:themeColor="text1" w:themeTint="F2"/>
          <w:szCs w:val="24"/>
        </w:rPr>
        <w:t>Summary of your proposal (max 500 words)</w:t>
      </w:r>
    </w:p>
    <w:p w14:paraId="0087EFB1" w14:textId="00863CE8" w:rsidR="00437A55" w:rsidRDefault="00F06241" w:rsidP="00E14B3B">
      <w:pPr>
        <w:pStyle w:val="Heading4"/>
        <w:numPr>
          <w:ilvl w:val="0"/>
          <w:numId w:val="39"/>
        </w:numPr>
        <w:spacing w:before="0"/>
        <w:jc w:val="both"/>
        <w:rPr>
          <w:b w:val="0"/>
          <w:bCs w:val="0"/>
          <w:color w:val="0D0D0D" w:themeColor="text1" w:themeTint="F2"/>
          <w:szCs w:val="24"/>
        </w:rPr>
      </w:pPr>
      <w:r>
        <w:rPr>
          <w:b w:val="0"/>
          <w:bCs w:val="0"/>
          <w:color w:val="0D0D0D" w:themeColor="text1" w:themeTint="F2"/>
          <w:szCs w:val="24"/>
        </w:rPr>
        <w:t>Delivery plan (max 500 words)</w:t>
      </w:r>
      <w:r w:rsidR="00437A55" w:rsidRPr="00437A55">
        <w:rPr>
          <w:b w:val="0"/>
          <w:bCs w:val="0"/>
          <w:color w:val="0D0D0D" w:themeColor="text1" w:themeTint="F2"/>
          <w:szCs w:val="24"/>
        </w:rPr>
        <w:t xml:space="preserve"> </w:t>
      </w:r>
    </w:p>
    <w:p w14:paraId="423FF6FB" w14:textId="77777777" w:rsidR="00437A55" w:rsidRDefault="00437A55" w:rsidP="00E14B3B">
      <w:pPr>
        <w:pStyle w:val="Heading4"/>
        <w:numPr>
          <w:ilvl w:val="0"/>
          <w:numId w:val="39"/>
        </w:numPr>
        <w:spacing w:before="0"/>
        <w:jc w:val="both"/>
        <w:rPr>
          <w:b w:val="0"/>
          <w:bCs w:val="0"/>
          <w:color w:val="0D0D0D" w:themeColor="text1" w:themeTint="F2"/>
          <w:szCs w:val="24"/>
        </w:rPr>
      </w:pPr>
      <w:r w:rsidRPr="00437A55">
        <w:rPr>
          <w:b w:val="0"/>
          <w:bCs w:val="0"/>
          <w:color w:val="0D0D0D" w:themeColor="text1" w:themeTint="F2"/>
          <w:szCs w:val="24"/>
        </w:rPr>
        <w:t>Additional information (max 250 words)</w:t>
      </w:r>
    </w:p>
    <w:p w14:paraId="030D9905" w14:textId="1A30D3CB" w:rsidR="00437A55" w:rsidRPr="00437A55" w:rsidRDefault="00437A55" w:rsidP="00E14B3B">
      <w:pPr>
        <w:pStyle w:val="Heading4"/>
        <w:numPr>
          <w:ilvl w:val="0"/>
          <w:numId w:val="39"/>
        </w:numPr>
        <w:spacing w:before="0"/>
        <w:jc w:val="both"/>
        <w:rPr>
          <w:b w:val="0"/>
          <w:bCs w:val="0"/>
          <w:color w:val="0D0D0D" w:themeColor="text1" w:themeTint="F2"/>
          <w:szCs w:val="24"/>
        </w:rPr>
      </w:pPr>
      <w:r w:rsidRPr="00437A55">
        <w:rPr>
          <w:b w:val="0"/>
          <w:color w:val="0D0D0D" w:themeColor="text1" w:themeTint="F2"/>
          <w:szCs w:val="24"/>
        </w:rPr>
        <w:t>Further information on a joint p</w:t>
      </w:r>
      <w:r w:rsidR="00B450E2">
        <w:rPr>
          <w:b w:val="0"/>
          <w:color w:val="0D0D0D" w:themeColor="text1" w:themeTint="F2"/>
          <w:szCs w:val="24"/>
        </w:rPr>
        <w:t>roject - where applicable (max 8</w:t>
      </w:r>
      <w:r w:rsidRPr="00437A55">
        <w:rPr>
          <w:b w:val="0"/>
          <w:color w:val="0D0D0D" w:themeColor="text1" w:themeTint="F2"/>
          <w:szCs w:val="24"/>
        </w:rPr>
        <w:t>00 words)</w:t>
      </w:r>
    </w:p>
    <w:p w14:paraId="1265BF02" w14:textId="77777777" w:rsidR="00BE5ED1" w:rsidRDefault="00BE5ED1" w:rsidP="00E14B3B">
      <w:pPr>
        <w:pStyle w:val="Caption"/>
        <w:spacing w:before="0" w:after="240"/>
        <w:jc w:val="both"/>
      </w:pPr>
    </w:p>
    <w:p w14:paraId="6DC12B34" w14:textId="77777777" w:rsidR="00BE5ED1" w:rsidRDefault="00BE5ED1" w:rsidP="00E14B3B">
      <w:pPr>
        <w:pStyle w:val="Caption"/>
        <w:spacing w:before="0" w:after="240"/>
        <w:jc w:val="both"/>
      </w:pPr>
    </w:p>
    <w:p w14:paraId="56A22FA6" w14:textId="77777777" w:rsidR="00BE5ED1" w:rsidRDefault="00BE5ED1" w:rsidP="00521E56">
      <w:pPr>
        <w:pStyle w:val="Caption"/>
        <w:spacing w:before="0" w:after="240"/>
      </w:pPr>
    </w:p>
    <w:p w14:paraId="30B6F591" w14:textId="77777777" w:rsidR="00BE5ED1" w:rsidRDefault="00BE5ED1" w:rsidP="00521E56">
      <w:pPr>
        <w:pStyle w:val="Caption"/>
        <w:spacing w:before="0" w:after="240"/>
      </w:pPr>
    </w:p>
    <w:p w14:paraId="57E9328A" w14:textId="77777777" w:rsidR="00BE5ED1" w:rsidRDefault="00BE5ED1" w:rsidP="00521E56">
      <w:pPr>
        <w:pStyle w:val="Caption"/>
        <w:spacing w:before="0" w:after="240"/>
      </w:pPr>
    </w:p>
    <w:p w14:paraId="448E6691" w14:textId="77777777" w:rsidR="00BE5ED1" w:rsidRDefault="00BE5ED1" w:rsidP="00521E56">
      <w:pPr>
        <w:pStyle w:val="Caption"/>
        <w:spacing w:before="0" w:after="240"/>
      </w:pPr>
    </w:p>
    <w:p w14:paraId="03558A11" w14:textId="77777777" w:rsidR="00BE5ED1" w:rsidRDefault="00BE5ED1" w:rsidP="00521E56">
      <w:pPr>
        <w:pStyle w:val="Caption"/>
        <w:spacing w:before="0" w:after="240"/>
      </w:pPr>
    </w:p>
    <w:p w14:paraId="6A8439B0" w14:textId="77777777" w:rsidR="00BE5ED1" w:rsidRDefault="00BE5ED1" w:rsidP="00521E56">
      <w:pPr>
        <w:pStyle w:val="Caption"/>
        <w:spacing w:before="0" w:after="240"/>
      </w:pPr>
    </w:p>
    <w:p w14:paraId="4E6238E2" w14:textId="635BE1E2" w:rsidR="00437A55" w:rsidRDefault="00437A55" w:rsidP="00521E56">
      <w:pPr>
        <w:spacing w:line="240" w:lineRule="auto"/>
        <w:rPr>
          <w:b/>
          <w:bCs/>
          <w:color w:val="000000" w:themeColor="text1"/>
          <w:sz w:val="20"/>
          <w:szCs w:val="20"/>
        </w:rPr>
      </w:pPr>
      <w:r>
        <w:br w:type="page"/>
      </w:r>
    </w:p>
    <w:p w14:paraId="660F9190" w14:textId="5FC10681" w:rsidR="00817AF3" w:rsidRDefault="00817AF3" w:rsidP="00E14B3B">
      <w:pPr>
        <w:pStyle w:val="Heading1"/>
        <w:numPr>
          <w:ilvl w:val="0"/>
          <w:numId w:val="33"/>
        </w:numPr>
        <w:jc w:val="both"/>
      </w:pPr>
      <w:r>
        <w:lastRenderedPageBreak/>
        <w:t xml:space="preserve">Assessing the Application </w:t>
      </w:r>
    </w:p>
    <w:p w14:paraId="22908D28" w14:textId="26EE27DB" w:rsidR="00817AF3" w:rsidRDefault="00817AF3" w:rsidP="00E14B3B">
      <w:pPr>
        <w:pStyle w:val="Heading4"/>
        <w:spacing w:before="0"/>
        <w:jc w:val="both"/>
      </w:pPr>
      <w:r>
        <w:t xml:space="preserve">5a) How will we assess your application form?  </w:t>
      </w:r>
    </w:p>
    <w:p w14:paraId="113DE19E" w14:textId="1D785B9E" w:rsidR="00371AA6" w:rsidRPr="00371AA6" w:rsidRDefault="00371AA6" w:rsidP="00E14B3B">
      <w:pPr>
        <w:pStyle w:val="Caption"/>
        <w:spacing w:before="0" w:after="240"/>
        <w:jc w:val="both"/>
        <w:rPr>
          <w:b w:val="0"/>
          <w:sz w:val="24"/>
          <w:szCs w:val="24"/>
        </w:rPr>
      </w:pPr>
      <w:r w:rsidRPr="00371AA6">
        <w:rPr>
          <w:b w:val="0"/>
          <w:sz w:val="24"/>
          <w:szCs w:val="24"/>
        </w:rPr>
        <w:t>Your application form must clearly demonstrate the challenges that you are facing in securing sufficient 30</w:t>
      </w:r>
      <w:r w:rsidR="00873006">
        <w:rPr>
          <w:b w:val="0"/>
          <w:sz w:val="24"/>
          <w:szCs w:val="24"/>
        </w:rPr>
        <w:t xml:space="preserve"> hours places, or the expertise/</w:t>
      </w:r>
      <w:r w:rsidRPr="00371AA6">
        <w:rPr>
          <w:b w:val="0"/>
          <w:sz w:val="24"/>
          <w:szCs w:val="24"/>
        </w:rPr>
        <w:t xml:space="preserve">best practice that you will share with other LAs to help them overcome their own challenges. </w:t>
      </w:r>
    </w:p>
    <w:p w14:paraId="738C00BC" w14:textId="223CDD3D" w:rsidR="00371AA6" w:rsidRPr="00371AA6" w:rsidRDefault="00371AA6" w:rsidP="00E14B3B">
      <w:pPr>
        <w:pStyle w:val="Caption"/>
        <w:spacing w:before="0" w:after="240"/>
        <w:jc w:val="both"/>
        <w:rPr>
          <w:b w:val="0"/>
          <w:sz w:val="24"/>
          <w:szCs w:val="24"/>
        </w:rPr>
      </w:pPr>
      <w:r w:rsidRPr="00371AA6">
        <w:rPr>
          <w:b w:val="0"/>
          <w:sz w:val="24"/>
          <w:szCs w:val="24"/>
        </w:rPr>
        <w:t xml:space="preserve">It should be a well-costed and evidence based proposal with clear plans on how </w:t>
      </w:r>
      <w:r w:rsidR="006C4C1C">
        <w:rPr>
          <w:b w:val="0"/>
          <w:sz w:val="24"/>
          <w:szCs w:val="24"/>
        </w:rPr>
        <w:t>an LAs project will help them</w:t>
      </w:r>
      <w:r w:rsidRPr="00371AA6">
        <w:rPr>
          <w:b w:val="0"/>
          <w:sz w:val="24"/>
          <w:szCs w:val="24"/>
        </w:rPr>
        <w:t xml:space="preserve"> overcome the c</w:t>
      </w:r>
      <w:r w:rsidR="006C4C1C">
        <w:rPr>
          <w:b w:val="0"/>
          <w:sz w:val="24"/>
          <w:szCs w:val="24"/>
        </w:rPr>
        <w:t>hallenges they are facing, and enable them</w:t>
      </w:r>
      <w:r w:rsidRPr="00371AA6">
        <w:rPr>
          <w:b w:val="0"/>
          <w:sz w:val="24"/>
          <w:szCs w:val="24"/>
        </w:rPr>
        <w:t xml:space="preserve"> to support 30 hours delivery and create (directly or indirectly) new 30 hours places for the summer term. </w:t>
      </w:r>
    </w:p>
    <w:p w14:paraId="4A41C77B" w14:textId="4EDF4573" w:rsidR="00BE5ED1" w:rsidRPr="00371AA6" w:rsidRDefault="00B539C5" w:rsidP="00E14B3B">
      <w:pPr>
        <w:pStyle w:val="Caption"/>
        <w:spacing w:before="0" w:after="240"/>
        <w:jc w:val="both"/>
        <w:rPr>
          <w:b w:val="0"/>
          <w:sz w:val="24"/>
          <w:szCs w:val="24"/>
        </w:rPr>
      </w:pPr>
      <w:r>
        <w:rPr>
          <w:b w:val="0"/>
          <w:sz w:val="24"/>
          <w:szCs w:val="24"/>
        </w:rPr>
        <w:t>Where possible in an LAs</w:t>
      </w:r>
      <w:r w:rsidR="00371AA6" w:rsidRPr="00371AA6">
        <w:rPr>
          <w:b w:val="0"/>
          <w:sz w:val="24"/>
          <w:szCs w:val="24"/>
        </w:rPr>
        <w:t xml:space="preserve"> application form</w:t>
      </w:r>
      <w:r>
        <w:rPr>
          <w:b w:val="0"/>
          <w:sz w:val="24"/>
          <w:szCs w:val="24"/>
        </w:rPr>
        <w:t>, they should provide evidence of their</w:t>
      </w:r>
      <w:r w:rsidR="00371AA6" w:rsidRPr="00371AA6">
        <w:rPr>
          <w:b w:val="0"/>
          <w:sz w:val="24"/>
          <w:szCs w:val="24"/>
        </w:rPr>
        <w:t xml:space="preserve"> local sufficiency picture and ho</w:t>
      </w:r>
      <w:r>
        <w:rPr>
          <w:b w:val="0"/>
          <w:sz w:val="24"/>
          <w:szCs w:val="24"/>
        </w:rPr>
        <w:t>w they</w:t>
      </w:r>
      <w:r w:rsidR="00371AA6" w:rsidRPr="00371AA6">
        <w:rPr>
          <w:b w:val="0"/>
          <w:sz w:val="24"/>
          <w:szCs w:val="24"/>
        </w:rPr>
        <w:t xml:space="preserve"> expect this to change by the 2018 summer term as a result of the work proposed.</w:t>
      </w:r>
    </w:p>
    <w:p w14:paraId="447084D7" w14:textId="7E1C3BFF" w:rsidR="00371AA6" w:rsidRDefault="00371AA6" w:rsidP="00E14B3B">
      <w:pPr>
        <w:pStyle w:val="Heading4"/>
        <w:spacing w:before="0"/>
        <w:jc w:val="both"/>
      </w:pPr>
      <w:r>
        <w:t xml:space="preserve">5b) The assessment panel </w:t>
      </w:r>
    </w:p>
    <w:p w14:paraId="07294EA7" w14:textId="2ACA6508" w:rsidR="00371AA6" w:rsidRPr="00371AA6" w:rsidRDefault="00371AA6" w:rsidP="00E14B3B">
      <w:pPr>
        <w:pStyle w:val="Caption"/>
        <w:spacing w:before="0" w:after="240"/>
        <w:jc w:val="both"/>
        <w:rPr>
          <w:b w:val="0"/>
          <w:sz w:val="24"/>
          <w:szCs w:val="24"/>
        </w:rPr>
      </w:pPr>
      <w:r w:rsidRPr="00371AA6">
        <w:rPr>
          <w:b w:val="0"/>
          <w:sz w:val="24"/>
          <w:szCs w:val="24"/>
        </w:rPr>
        <w:t>Funding decisions for the DSF will be made by an asse</w:t>
      </w:r>
      <w:r w:rsidR="003C1442">
        <w:rPr>
          <w:b w:val="0"/>
          <w:sz w:val="24"/>
          <w:szCs w:val="24"/>
        </w:rPr>
        <w:t xml:space="preserve">ssment panel that will include: DfE </w:t>
      </w:r>
      <w:r w:rsidRPr="00371AA6">
        <w:rPr>
          <w:b w:val="0"/>
          <w:sz w:val="24"/>
          <w:szCs w:val="24"/>
        </w:rPr>
        <w:t xml:space="preserve">30 hours policy officials, </w:t>
      </w:r>
      <w:r w:rsidR="003C1442">
        <w:rPr>
          <w:b w:val="0"/>
          <w:sz w:val="24"/>
          <w:szCs w:val="24"/>
        </w:rPr>
        <w:t>DfE</w:t>
      </w:r>
      <w:r w:rsidRPr="00371AA6">
        <w:rPr>
          <w:b w:val="0"/>
          <w:sz w:val="24"/>
          <w:szCs w:val="24"/>
        </w:rPr>
        <w:t xml:space="preserve"> finance officials and Childcare Works representatives. </w:t>
      </w:r>
    </w:p>
    <w:p w14:paraId="56BB1E4E" w14:textId="50C33E25" w:rsidR="00371AA6" w:rsidRDefault="00371AA6" w:rsidP="00E14B3B">
      <w:pPr>
        <w:pStyle w:val="Caption"/>
        <w:spacing w:before="0" w:after="240"/>
        <w:jc w:val="both"/>
        <w:rPr>
          <w:b w:val="0"/>
          <w:sz w:val="24"/>
          <w:szCs w:val="24"/>
        </w:rPr>
      </w:pPr>
      <w:r w:rsidRPr="00371AA6">
        <w:rPr>
          <w:b w:val="0"/>
          <w:sz w:val="24"/>
          <w:szCs w:val="24"/>
        </w:rPr>
        <w:t xml:space="preserve">All applications will be assessed alongside DfE’s latest data on 30 hours demand, intelligence from the Progress Review Forms and other local intelligence from LAs engagement with Childcare Works.  </w:t>
      </w:r>
    </w:p>
    <w:p w14:paraId="18348177" w14:textId="53620309" w:rsidR="0093399C" w:rsidRDefault="0093399C" w:rsidP="00E14B3B">
      <w:pPr>
        <w:pStyle w:val="Heading4"/>
        <w:spacing w:before="0"/>
        <w:jc w:val="both"/>
      </w:pPr>
      <w:r>
        <w:t xml:space="preserve">5c) Scoring criteria </w:t>
      </w:r>
    </w:p>
    <w:p w14:paraId="77265D17" w14:textId="38BF0001" w:rsidR="0093399C" w:rsidRPr="0093399C" w:rsidRDefault="0093399C" w:rsidP="00E14B3B">
      <w:pPr>
        <w:pStyle w:val="Heading4"/>
        <w:spacing w:before="0"/>
        <w:jc w:val="both"/>
        <w:rPr>
          <w:b w:val="0"/>
          <w:bCs w:val="0"/>
          <w:color w:val="0D0D0D" w:themeColor="text1" w:themeTint="F2"/>
          <w:szCs w:val="24"/>
        </w:rPr>
      </w:pPr>
      <w:r w:rsidRPr="0093399C">
        <w:rPr>
          <w:b w:val="0"/>
          <w:bCs w:val="0"/>
          <w:color w:val="0D0D0D" w:themeColor="text1" w:themeTint="F2"/>
          <w:szCs w:val="24"/>
        </w:rPr>
        <w:t>We will consider the following areas when assessing your application:</w:t>
      </w:r>
    </w:p>
    <w:p w14:paraId="6D33EA27" w14:textId="28A8DA9E" w:rsidR="0093399C" w:rsidRPr="00685B6D" w:rsidRDefault="00685B6D" w:rsidP="00E14B3B">
      <w:pPr>
        <w:pStyle w:val="ListParagraph"/>
        <w:numPr>
          <w:ilvl w:val="0"/>
          <w:numId w:val="43"/>
        </w:numPr>
        <w:jc w:val="both"/>
        <w:rPr>
          <w:b/>
        </w:rPr>
      </w:pPr>
      <w:r w:rsidRPr="00685B6D">
        <w:rPr>
          <w:b/>
        </w:rPr>
        <w:t>Evidence of local delivery needs</w:t>
      </w:r>
    </w:p>
    <w:p w14:paraId="70D7A4C8" w14:textId="77777777" w:rsidR="00685B6D" w:rsidRDefault="00685B6D" w:rsidP="00E14B3B">
      <w:pPr>
        <w:pStyle w:val="ListParagraph"/>
        <w:numPr>
          <w:ilvl w:val="0"/>
          <w:numId w:val="0"/>
        </w:numPr>
        <w:ind w:left="720"/>
        <w:jc w:val="both"/>
      </w:pPr>
    </w:p>
    <w:p w14:paraId="77114EEC" w14:textId="35F78DC7" w:rsidR="00685B6D" w:rsidRDefault="00685B6D" w:rsidP="00E14B3B">
      <w:pPr>
        <w:pStyle w:val="ListParagraph"/>
        <w:numPr>
          <w:ilvl w:val="1"/>
          <w:numId w:val="43"/>
        </w:numPr>
        <w:jc w:val="both"/>
      </w:pPr>
      <w:r w:rsidRPr="00685B6D">
        <w:t>The extent to which an LA has demonstrated its understa</w:t>
      </w:r>
      <w:r w:rsidR="005A51CE">
        <w:t>nding of local demand and how they expect</w:t>
      </w:r>
      <w:r w:rsidRPr="00685B6D">
        <w:t xml:space="preserve"> this to increase by the 2018 summer term.</w:t>
      </w:r>
    </w:p>
    <w:p w14:paraId="511375E5" w14:textId="77777777" w:rsidR="00685B6D" w:rsidRDefault="00685B6D" w:rsidP="00E14B3B">
      <w:pPr>
        <w:pStyle w:val="ListParagraph"/>
        <w:numPr>
          <w:ilvl w:val="0"/>
          <w:numId w:val="0"/>
        </w:numPr>
        <w:ind w:left="1440"/>
        <w:jc w:val="both"/>
      </w:pPr>
    </w:p>
    <w:p w14:paraId="2E603D41" w14:textId="046F6F96" w:rsidR="00685B6D" w:rsidRDefault="00685B6D" w:rsidP="00E14B3B">
      <w:pPr>
        <w:pStyle w:val="ListParagraph"/>
        <w:numPr>
          <w:ilvl w:val="0"/>
          <w:numId w:val="0"/>
        </w:numPr>
        <w:ind w:left="1440"/>
        <w:jc w:val="both"/>
        <w:rPr>
          <w:i/>
        </w:rPr>
      </w:pPr>
      <w:r w:rsidRPr="00685B6D">
        <w:rPr>
          <w:i/>
        </w:rPr>
        <w:t>(Please note: if an LA is applying for funding to support with sufficiency mapping then this will be taken into account).</w:t>
      </w:r>
    </w:p>
    <w:p w14:paraId="42188A8F" w14:textId="77777777" w:rsidR="00685B6D" w:rsidRPr="00685B6D" w:rsidRDefault="00685B6D" w:rsidP="00E14B3B">
      <w:pPr>
        <w:pStyle w:val="ListParagraph"/>
        <w:numPr>
          <w:ilvl w:val="0"/>
          <w:numId w:val="0"/>
        </w:numPr>
        <w:ind w:left="1440"/>
        <w:jc w:val="both"/>
        <w:rPr>
          <w:i/>
        </w:rPr>
      </w:pPr>
    </w:p>
    <w:p w14:paraId="52552106" w14:textId="692C4F0B" w:rsidR="00685B6D" w:rsidRDefault="00685B6D" w:rsidP="00E14B3B">
      <w:pPr>
        <w:pStyle w:val="ListParagraph"/>
        <w:numPr>
          <w:ilvl w:val="1"/>
          <w:numId w:val="43"/>
        </w:numPr>
        <w:jc w:val="both"/>
      </w:pPr>
      <w:r w:rsidRPr="00685B6D">
        <w:t>The extent to which an L</w:t>
      </w:r>
      <w:r w:rsidR="004E320E">
        <w:t>A has demonstrated the barriers/</w:t>
      </w:r>
      <w:r w:rsidR="009B57B0">
        <w:t xml:space="preserve">challenges they are </w:t>
      </w:r>
      <w:r w:rsidRPr="00685B6D">
        <w:t>facing (that relate to its application) in securing sufficient places for the 2018 summer term.</w:t>
      </w:r>
    </w:p>
    <w:p w14:paraId="56F1994A" w14:textId="77777777" w:rsidR="00685B6D" w:rsidRDefault="00685B6D" w:rsidP="00E14B3B">
      <w:pPr>
        <w:ind w:left="4320"/>
        <w:jc w:val="both"/>
        <w:rPr>
          <w:b/>
        </w:rPr>
      </w:pPr>
      <w:r w:rsidRPr="00685B6D">
        <w:rPr>
          <w:b/>
        </w:rPr>
        <w:t xml:space="preserve">OR </w:t>
      </w:r>
    </w:p>
    <w:p w14:paraId="1BF6247E" w14:textId="721B9A39" w:rsidR="005044A7" w:rsidRDefault="00685B6D" w:rsidP="00E14B3B">
      <w:pPr>
        <w:pStyle w:val="ListParagraph"/>
        <w:numPr>
          <w:ilvl w:val="1"/>
          <w:numId w:val="43"/>
        </w:numPr>
        <w:jc w:val="both"/>
        <w:rPr>
          <w:color w:val="auto"/>
          <w:szCs w:val="20"/>
          <w:lang w:eastAsia="en-US"/>
        </w:rPr>
      </w:pPr>
      <w:r w:rsidRPr="00685B6D">
        <w:rPr>
          <w:color w:val="auto"/>
          <w:szCs w:val="20"/>
          <w:lang w:eastAsia="en-US"/>
        </w:rPr>
        <w:t xml:space="preserve">The extent to which an LA has demonstrated the expertise </w:t>
      </w:r>
      <w:r w:rsidR="003629E5">
        <w:rPr>
          <w:color w:val="auto"/>
          <w:szCs w:val="20"/>
          <w:lang w:eastAsia="en-US"/>
        </w:rPr>
        <w:t>and experience that they</w:t>
      </w:r>
      <w:r w:rsidRPr="00685B6D">
        <w:rPr>
          <w:color w:val="auto"/>
          <w:szCs w:val="20"/>
          <w:lang w:eastAsia="en-US"/>
        </w:rPr>
        <w:t xml:space="preserve"> will share to support other LAs to secure sufficient places for the 2018 summer term. </w:t>
      </w:r>
    </w:p>
    <w:p w14:paraId="179E8A38" w14:textId="77777777" w:rsidR="005044A7" w:rsidRPr="005044A7" w:rsidRDefault="005044A7" w:rsidP="00E14B3B">
      <w:pPr>
        <w:pStyle w:val="ListParagraph"/>
        <w:numPr>
          <w:ilvl w:val="0"/>
          <w:numId w:val="0"/>
        </w:numPr>
        <w:ind w:left="1440"/>
        <w:jc w:val="both"/>
        <w:rPr>
          <w:color w:val="auto"/>
          <w:szCs w:val="20"/>
          <w:lang w:eastAsia="en-US"/>
        </w:rPr>
      </w:pPr>
    </w:p>
    <w:p w14:paraId="3AF0CB08" w14:textId="607B9D0A" w:rsidR="005044A7" w:rsidRDefault="005044A7" w:rsidP="00E14B3B">
      <w:pPr>
        <w:pStyle w:val="ListParagraph"/>
        <w:numPr>
          <w:ilvl w:val="0"/>
          <w:numId w:val="43"/>
        </w:numPr>
        <w:jc w:val="both"/>
        <w:rPr>
          <w:b/>
          <w:color w:val="auto"/>
          <w:szCs w:val="20"/>
          <w:lang w:eastAsia="en-US"/>
        </w:rPr>
      </w:pPr>
      <w:r w:rsidRPr="005044A7">
        <w:rPr>
          <w:b/>
          <w:color w:val="auto"/>
          <w:szCs w:val="20"/>
          <w:lang w:eastAsia="en-US"/>
        </w:rPr>
        <w:t xml:space="preserve">Summary of the proposal </w:t>
      </w:r>
    </w:p>
    <w:p w14:paraId="01448338" w14:textId="77777777" w:rsidR="005044A7" w:rsidRPr="005044A7" w:rsidRDefault="005044A7" w:rsidP="00E14B3B">
      <w:pPr>
        <w:pStyle w:val="ListParagraph"/>
        <w:numPr>
          <w:ilvl w:val="0"/>
          <w:numId w:val="0"/>
        </w:numPr>
        <w:ind w:left="720"/>
        <w:jc w:val="both"/>
        <w:rPr>
          <w:color w:val="auto"/>
          <w:szCs w:val="20"/>
          <w:lang w:eastAsia="en-US"/>
        </w:rPr>
      </w:pPr>
    </w:p>
    <w:p w14:paraId="7C2AA577" w14:textId="6F10D9B4" w:rsidR="005044A7" w:rsidRDefault="005044A7" w:rsidP="00E14B3B">
      <w:pPr>
        <w:pStyle w:val="ListParagraph"/>
        <w:numPr>
          <w:ilvl w:val="1"/>
          <w:numId w:val="43"/>
        </w:numPr>
        <w:jc w:val="both"/>
        <w:rPr>
          <w:color w:val="auto"/>
          <w:szCs w:val="20"/>
          <w:lang w:eastAsia="en-US"/>
        </w:rPr>
      </w:pPr>
      <w:r w:rsidRPr="005044A7">
        <w:rPr>
          <w:color w:val="auto"/>
          <w:szCs w:val="20"/>
          <w:lang w:eastAsia="en-US"/>
        </w:rPr>
        <w:t>The extent to whic</w:t>
      </w:r>
      <w:r w:rsidR="00312AED">
        <w:rPr>
          <w:color w:val="auto"/>
          <w:szCs w:val="20"/>
          <w:lang w:eastAsia="en-US"/>
        </w:rPr>
        <w:t>h an LA has demonstrated how their</w:t>
      </w:r>
      <w:r w:rsidRPr="005044A7">
        <w:rPr>
          <w:color w:val="auto"/>
          <w:szCs w:val="20"/>
          <w:lang w:eastAsia="en-US"/>
        </w:rPr>
        <w:t xml:space="preserve"> proposed </w:t>
      </w:r>
      <w:r w:rsidR="001F2BD8">
        <w:rPr>
          <w:color w:val="auto"/>
          <w:szCs w:val="20"/>
          <w:lang w:eastAsia="en-US"/>
        </w:rPr>
        <w:t>project(s)</w:t>
      </w:r>
      <w:r w:rsidRPr="005044A7">
        <w:rPr>
          <w:color w:val="auto"/>
          <w:szCs w:val="20"/>
          <w:lang w:eastAsia="en-US"/>
        </w:rPr>
        <w:t xml:space="preserve"> will effec</w:t>
      </w:r>
      <w:r w:rsidR="00312AED">
        <w:rPr>
          <w:color w:val="auto"/>
          <w:szCs w:val="20"/>
          <w:lang w:eastAsia="en-US"/>
        </w:rPr>
        <w:t>tively address the challenges they face</w:t>
      </w:r>
      <w:r w:rsidRPr="005044A7">
        <w:rPr>
          <w:color w:val="auto"/>
          <w:szCs w:val="20"/>
          <w:lang w:eastAsia="en-US"/>
        </w:rPr>
        <w:t>, a</w:t>
      </w:r>
      <w:r w:rsidR="004B7EA8">
        <w:rPr>
          <w:color w:val="auto"/>
          <w:szCs w:val="20"/>
          <w:lang w:eastAsia="en-US"/>
        </w:rPr>
        <w:t>nd how it will help them</w:t>
      </w:r>
      <w:r w:rsidRPr="005044A7">
        <w:rPr>
          <w:color w:val="auto"/>
          <w:szCs w:val="20"/>
          <w:lang w:eastAsia="en-US"/>
        </w:rPr>
        <w:t xml:space="preserve"> </w:t>
      </w:r>
      <w:r w:rsidR="002F090C">
        <w:rPr>
          <w:color w:val="auto"/>
          <w:szCs w:val="20"/>
          <w:lang w:eastAsia="en-US"/>
        </w:rPr>
        <w:t xml:space="preserve">to </w:t>
      </w:r>
      <w:r w:rsidRPr="005044A7">
        <w:rPr>
          <w:color w:val="auto"/>
          <w:szCs w:val="20"/>
          <w:lang w:eastAsia="en-US"/>
        </w:rPr>
        <w:t xml:space="preserve">secure sufficient places for the 2018 summer term. </w:t>
      </w:r>
    </w:p>
    <w:p w14:paraId="31CC5FEF" w14:textId="77777777" w:rsidR="005044A7" w:rsidRDefault="005044A7" w:rsidP="00E14B3B">
      <w:pPr>
        <w:ind w:left="3600" w:firstLine="720"/>
        <w:jc w:val="both"/>
        <w:rPr>
          <w:b/>
          <w:color w:val="auto"/>
          <w:szCs w:val="20"/>
          <w:lang w:eastAsia="en-US"/>
        </w:rPr>
      </w:pPr>
      <w:r w:rsidRPr="005044A7">
        <w:rPr>
          <w:b/>
          <w:color w:val="auto"/>
          <w:szCs w:val="20"/>
          <w:lang w:eastAsia="en-US"/>
        </w:rPr>
        <w:t xml:space="preserve">OR </w:t>
      </w:r>
    </w:p>
    <w:p w14:paraId="06DBA504" w14:textId="40A0441C" w:rsidR="005044A7" w:rsidRDefault="005044A7" w:rsidP="00E14B3B">
      <w:pPr>
        <w:pStyle w:val="ListParagraph"/>
        <w:numPr>
          <w:ilvl w:val="1"/>
          <w:numId w:val="43"/>
        </w:numPr>
        <w:jc w:val="both"/>
        <w:rPr>
          <w:color w:val="auto"/>
          <w:szCs w:val="20"/>
          <w:lang w:eastAsia="en-US"/>
        </w:rPr>
      </w:pPr>
      <w:r w:rsidRPr="005044A7">
        <w:rPr>
          <w:color w:val="auto"/>
          <w:szCs w:val="20"/>
          <w:lang w:eastAsia="en-US"/>
        </w:rPr>
        <w:t>The extent to whi</w:t>
      </w:r>
      <w:r w:rsidR="003B63DB">
        <w:rPr>
          <w:color w:val="auto"/>
          <w:szCs w:val="20"/>
          <w:lang w:eastAsia="en-US"/>
        </w:rPr>
        <w:t>ch an LA has demonstrated how they</w:t>
      </w:r>
      <w:r w:rsidRPr="005044A7">
        <w:rPr>
          <w:color w:val="auto"/>
          <w:szCs w:val="20"/>
          <w:lang w:eastAsia="en-US"/>
        </w:rPr>
        <w:t xml:space="preserve"> </w:t>
      </w:r>
      <w:r w:rsidR="003B63DB">
        <w:rPr>
          <w:color w:val="auto"/>
          <w:szCs w:val="20"/>
          <w:lang w:eastAsia="en-US"/>
        </w:rPr>
        <w:t>will use their</w:t>
      </w:r>
      <w:r w:rsidRPr="005044A7">
        <w:rPr>
          <w:color w:val="auto"/>
          <w:szCs w:val="20"/>
          <w:lang w:eastAsia="en-US"/>
        </w:rPr>
        <w:t xml:space="preserve"> expertise and experience to support 30 hours delivery in other local areas, and help other LAs to secure sufficient places for the 2018 summer term.  </w:t>
      </w:r>
    </w:p>
    <w:p w14:paraId="0D1CED3F" w14:textId="77777777" w:rsidR="00521E56" w:rsidRDefault="00521E56" w:rsidP="00E14B3B">
      <w:pPr>
        <w:pStyle w:val="ListParagraph"/>
        <w:numPr>
          <w:ilvl w:val="0"/>
          <w:numId w:val="0"/>
        </w:numPr>
        <w:ind w:left="1440"/>
        <w:jc w:val="both"/>
        <w:rPr>
          <w:color w:val="auto"/>
          <w:szCs w:val="20"/>
          <w:lang w:eastAsia="en-US"/>
        </w:rPr>
      </w:pPr>
    </w:p>
    <w:p w14:paraId="37F27233" w14:textId="10A97318" w:rsidR="00521E56" w:rsidRPr="00521E56" w:rsidRDefault="00521E56" w:rsidP="00E14B3B">
      <w:pPr>
        <w:pStyle w:val="ListParagraph"/>
        <w:numPr>
          <w:ilvl w:val="0"/>
          <w:numId w:val="43"/>
        </w:numPr>
        <w:jc w:val="both"/>
        <w:rPr>
          <w:b/>
          <w:color w:val="auto"/>
          <w:szCs w:val="20"/>
          <w:lang w:eastAsia="en-US"/>
        </w:rPr>
      </w:pPr>
      <w:r w:rsidRPr="00521E56">
        <w:rPr>
          <w:b/>
          <w:lang w:eastAsia="en-US"/>
        </w:rPr>
        <w:t xml:space="preserve">Delivery plan </w:t>
      </w:r>
    </w:p>
    <w:p w14:paraId="4FB1252D" w14:textId="77777777" w:rsidR="00521E56" w:rsidRPr="00521E56" w:rsidRDefault="00521E56" w:rsidP="00E14B3B">
      <w:pPr>
        <w:pStyle w:val="ListParagraph"/>
        <w:numPr>
          <w:ilvl w:val="0"/>
          <w:numId w:val="0"/>
        </w:numPr>
        <w:ind w:left="720"/>
        <w:jc w:val="both"/>
        <w:rPr>
          <w:b/>
          <w:color w:val="auto"/>
          <w:szCs w:val="20"/>
          <w:lang w:eastAsia="en-US"/>
        </w:rPr>
      </w:pPr>
    </w:p>
    <w:p w14:paraId="41FC3A4E" w14:textId="7B89F452" w:rsidR="00521E56" w:rsidRPr="00521E56" w:rsidRDefault="00521E56" w:rsidP="00E14B3B">
      <w:pPr>
        <w:pStyle w:val="ListParagraph"/>
        <w:numPr>
          <w:ilvl w:val="1"/>
          <w:numId w:val="43"/>
        </w:numPr>
        <w:jc w:val="both"/>
        <w:rPr>
          <w:color w:val="auto"/>
          <w:szCs w:val="20"/>
          <w:lang w:eastAsia="en-US"/>
        </w:rPr>
      </w:pPr>
      <w:r w:rsidRPr="00521E56">
        <w:rPr>
          <w:color w:val="auto"/>
          <w:szCs w:val="20"/>
          <w:lang w:eastAsia="en-US"/>
        </w:rPr>
        <w:t xml:space="preserve">The extent to which an LA has demonstrated </w:t>
      </w:r>
      <w:r w:rsidR="00487E76">
        <w:rPr>
          <w:color w:val="auto"/>
          <w:szCs w:val="20"/>
          <w:lang w:eastAsia="en-US"/>
        </w:rPr>
        <w:t xml:space="preserve">that </w:t>
      </w:r>
      <w:r w:rsidR="003B63DB">
        <w:rPr>
          <w:color w:val="auto"/>
          <w:szCs w:val="20"/>
          <w:lang w:eastAsia="en-US"/>
        </w:rPr>
        <w:t>their project(s) are well costed, and that they</w:t>
      </w:r>
      <w:r w:rsidRPr="00521E56">
        <w:rPr>
          <w:color w:val="auto"/>
          <w:szCs w:val="20"/>
          <w:lang w:eastAsia="en-US"/>
        </w:rPr>
        <w:t xml:space="preserve"> will have the necessary skills and resources required to successfully deliver the</w:t>
      </w:r>
      <w:r w:rsidR="003B63DB">
        <w:rPr>
          <w:color w:val="auto"/>
          <w:szCs w:val="20"/>
          <w:lang w:eastAsia="en-US"/>
        </w:rPr>
        <w:t>ir</w:t>
      </w:r>
      <w:r w:rsidRPr="00521E56">
        <w:rPr>
          <w:color w:val="auto"/>
          <w:szCs w:val="20"/>
          <w:lang w:eastAsia="en-US"/>
        </w:rPr>
        <w:t xml:space="preserve"> work.  </w:t>
      </w:r>
    </w:p>
    <w:p w14:paraId="6582E2EE" w14:textId="0139CFCB" w:rsidR="00521E56" w:rsidRPr="00521E56" w:rsidRDefault="00521E56" w:rsidP="00E14B3B">
      <w:pPr>
        <w:ind w:left="1440"/>
        <w:jc w:val="both"/>
        <w:rPr>
          <w:i/>
          <w:color w:val="auto"/>
          <w:szCs w:val="20"/>
          <w:lang w:eastAsia="en-US"/>
        </w:rPr>
      </w:pPr>
      <w:r w:rsidRPr="00521E56">
        <w:rPr>
          <w:i/>
          <w:color w:val="auto"/>
          <w:szCs w:val="20"/>
          <w:lang w:eastAsia="en-US"/>
        </w:rPr>
        <w:t>(This is applicable for all LAs, whether they are requesting funding to address local need, or to share expertise and experience).</w:t>
      </w:r>
    </w:p>
    <w:p w14:paraId="5AC2F199" w14:textId="0D88F66E" w:rsidR="00521E56" w:rsidRPr="00521E56" w:rsidRDefault="00521E56" w:rsidP="00521E56">
      <w:pPr>
        <w:pStyle w:val="ListParagraph"/>
        <w:numPr>
          <w:ilvl w:val="0"/>
          <w:numId w:val="0"/>
        </w:numPr>
        <w:ind w:left="1440"/>
        <w:rPr>
          <w:b/>
          <w:color w:val="auto"/>
          <w:szCs w:val="20"/>
          <w:lang w:eastAsia="en-US"/>
        </w:rPr>
      </w:pPr>
    </w:p>
    <w:p w14:paraId="5CAE3CA0" w14:textId="7B3BD63B" w:rsidR="005044A7" w:rsidRPr="005044A7" w:rsidRDefault="005044A7" w:rsidP="00521E56">
      <w:pPr>
        <w:pStyle w:val="ListParagraph"/>
        <w:numPr>
          <w:ilvl w:val="0"/>
          <w:numId w:val="0"/>
        </w:numPr>
        <w:ind w:left="1440"/>
        <w:rPr>
          <w:b/>
          <w:color w:val="auto"/>
          <w:szCs w:val="20"/>
          <w:lang w:eastAsia="en-US"/>
        </w:rPr>
      </w:pPr>
    </w:p>
    <w:p w14:paraId="7E751F8B" w14:textId="77777777" w:rsidR="00685B6D" w:rsidRDefault="00685B6D" w:rsidP="00521E56">
      <w:pPr>
        <w:ind w:left="4320"/>
        <w:rPr>
          <w:b/>
        </w:rPr>
      </w:pPr>
    </w:p>
    <w:p w14:paraId="01A6A415" w14:textId="635B93B4" w:rsidR="00685B6D" w:rsidRPr="00685B6D" w:rsidRDefault="00685B6D" w:rsidP="00521E56">
      <w:pPr>
        <w:ind w:left="4320"/>
        <w:rPr>
          <w:b/>
        </w:rPr>
      </w:pPr>
      <w:r>
        <w:rPr>
          <w:b/>
        </w:rPr>
        <w:tab/>
      </w:r>
    </w:p>
    <w:p w14:paraId="07927140" w14:textId="77777777" w:rsidR="00BE5ED1" w:rsidRDefault="00BE5ED1" w:rsidP="003E4B03">
      <w:pPr>
        <w:pStyle w:val="Caption"/>
      </w:pPr>
    </w:p>
    <w:p w14:paraId="50B567CB" w14:textId="07ACD89E" w:rsidR="00521E56" w:rsidRDefault="00521E56">
      <w:pPr>
        <w:spacing w:after="0" w:line="240" w:lineRule="auto"/>
        <w:rPr>
          <w:b/>
          <w:bCs/>
          <w:color w:val="000000" w:themeColor="text1"/>
          <w:sz w:val="20"/>
          <w:szCs w:val="20"/>
        </w:rPr>
      </w:pPr>
      <w:r>
        <w:br w:type="page"/>
      </w:r>
    </w:p>
    <w:p w14:paraId="52CE10B0" w14:textId="0E047035" w:rsidR="00521E56" w:rsidRDefault="00521E56" w:rsidP="00E14B3B">
      <w:pPr>
        <w:pStyle w:val="Heading1"/>
        <w:numPr>
          <w:ilvl w:val="0"/>
          <w:numId w:val="33"/>
        </w:numPr>
        <w:jc w:val="both"/>
      </w:pPr>
      <w:r>
        <w:lastRenderedPageBreak/>
        <w:t xml:space="preserve">Next steps </w:t>
      </w:r>
    </w:p>
    <w:p w14:paraId="094E4F61" w14:textId="2091405A" w:rsidR="00521E56" w:rsidRDefault="00521E56" w:rsidP="00E14B3B">
      <w:pPr>
        <w:pStyle w:val="Heading4"/>
        <w:spacing w:before="0"/>
        <w:jc w:val="both"/>
      </w:pPr>
      <w:r>
        <w:t xml:space="preserve">6a) What happens if your application is successful?  </w:t>
      </w:r>
    </w:p>
    <w:p w14:paraId="22AE8DF4" w14:textId="73F9C9E8" w:rsidR="00521E56" w:rsidRDefault="00521E56" w:rsidP="00E14B3B">
      <w:pPr>
        <w:jc w:val="both"/>
      </w:pPr>
      <w:r>
        <w:t>We will inform you via email if your application is successful or not after the assessment panel.</w:t>
      </w:r>
      <w:r w:rsidR="00737333">
        <w:t xml:space="preserve"> We expect this to be</w:t>
      </w:r>
      <w:r w:rsidR="000B524B">
        <w:t xml:space="preserve"> done</w:t>
      </w:r>
      <w:r w:rsidR="00737333">
        <w:t xml:space="preserve"> in February 2018. </w:t>
      </w:r>
    </w:p>
    <w:p w14:paraId="1945CD49" w14:textId="0F2328A4" w:rsidR="00521E56" w:rsidRDefault="00521E56" w:rsidP="00E14B3B">
      <w:pPr>
        <w:jc w:val="both"/>
      </w:pPr>
      <w:r>
        <w:t xml:space="preserve">If your application is successful an award letter will be sent directly to the LA, together with an acceptance form. At this time, we will also send a Memorandum of Understanding (MoU) setting out the expectations for spending the funding. </w:t>
      </w:r>
    </w:p>
    <w:p w14:paraId="5B515EEB" w14:textId="417DA474" w:rsidR="00521E56" w:rsidRDefault="00521E56" w:rsidP="00E14B3B">
      <w:pPr>
        <w:jc w:val="both"/>
      </w:pPr>
      <w:r>
        <w:t>The acceptance form and the MoU must be signed by the Director of Chil</w:t>
      </w:r>
      <w:r w:rsidR="00366D09">
        <w:t>dren’s Services or equivalent in</w:t>
      </w:r>
      <w:r>
        <w:t xml:space="preserve"> the organisation. This will demonstrate </w:t>
      </w:r>
      <w:r w:rsidR="00A3403F">
        <w:t xml:space="preserve">that </w:t>
      </w:r>
      <w:r>
        <w:t xml:space="preserve">they agree to the requirements of the funding.  </w:t>
      </w:r>
    </w:p>
    <w:p w14:paraId="2DDC5BCC" w14:textId="77777777" w:rsidR="00521E56" w:rsidRDefault="00521E56" w:rsidP="00E14B3B">
      <w:pPr>
        <w:pStyle w:val="Heading4"/>
        <w:spacing w:before="0"/>
        <w:jc w:val="both"/>
      </w:pPr>
      <w:r>
        <w:t xml:space="preserve">6b) Drawing of funding </w:t>
      </w:r>
    </w:p>
    <w:p w14:paraId="43B327D0" w14:textId="1D31EA29" w:rsidR="00521E56" w:rsidRDefault="00521E56" w:rsidP="00E14B3B">
      <w:pPr>
        <w:pStyle w:val="Heading4"/>
        <w:spacing w:before="0"/>
        <w:jc w:val="both"/>
        <w:rPr>
          <w:b w:val="0"/>
          <w:color w:val="auto"/>
        </w:rPr>
      </w:pPr>
      <w:r w:rsidRPr="00521E56">
        <w:rPr>
          <w:b w:val="0"/>
          <w:color w:val="auto"/>
        </w:rPr>
        <w:t xml:space="preserve">We will make one payment to LAs with the full amount of funding through a Section 31 grant. </w:t>
      </w:r>
    </w:p>
    <w:p w14:paraId="1EF0F7BF" w14:textId="4E534980" w:rsidR="00521E56" w:rsidRPr="00521E56" w:rsidRDefault="00521E56" w:rsidP="00E14B3B">
      <w:pPr>
        <w:jc w:val="both"/>
      </w:pPr>
      <w:r>
        <w:t xml:space="preserve">All revenue and capital grants will be subject to standard Section 31 Grant Determination Letters. </w:t>
      </w:r>
    </w:p>
    <w:p w14:paraId="0691D980" w14:textId="2072E564" w:rsidR="00521E56" w:rsidRPr="00521E56" w:rsidRDefault="00521E56" w:rsidP="00E14B3B">
      <w:pPr>
        <w:pStyle w:val="Heading4"/>
        <w:spacing w:before="0"/>
        <w:jc w:val="both"/>
        <w:rPr>
          <w:b w:val="0"/>
          <w:color w:val="auto"/>
        </w:rPr>
      </w:pPr>
      <w:r w:rsidRPr="00521E56">
        <w:rPr>
          <w:b w:val="0"/>
          <w:color w:val="auto"/>
        </w:rPr>
        <w:t xml:space="preserve">We expect funding decisions to be made by the assessment panel in January, with funding distributed in March 2018. </w:t>
      </w:r>
    </w:p>
    <w:p w14:paraId="28DE5D7E" w14:textId="033B1F2F" w:rsidR="00521E56" w:rsidRPr="00521E56" w:rsidRDefault="00521E56" w:rsidP="00E14B3B">
      <w:pPr>
        <w:pStyle w:val="Heading4"/>
        <w:spacing w:before="0"/>
        <w:jc w:val="both"/>
        <w:rPr>
          <w:b w:val="0"/>
          <w:color w:val="auto"/>
        </w:rPr>
      </w:pPr>
      <w:r w:rsidRPr="00521E56">
        <w:rPr>
          <w:b w:val="0"/>
          <w:color w:val="auto"/>
        </w:rPr>
        <w:t xml:space="preserve">The total funding award must be distributed to LAs by 31st March 2018.   </w:t>
      </w:r>
    </w:p>
    <w:p w14:paraId="341143AF" w14:textId="77777777" w:rsidR="00521E56" w:rsidRPr="00521E56" w:rsidRDefault="00521E56" w:rsidP="00521E56"/>
    <w:p w14:paraId="0CFED0EF" w14:textId="77777777" w:rsidR="00BE5ED1" w:rsidRDefault="00BE5ED1" w:rsidP="003E4B03">
      <w:pPr>
        <w:pStyle w:val="Caption"/>
      </w:pPr>
    </w:p>
    <w:bookmarkEnd w:id="1"/>
    <w:bookmarkEnd w:id="2"/>
    <w:bookmarkEnd w:id="3"/>
    <w:bookmarkEnd w:id="4"/>
    <w:p w14:paraId="4AF655B5" w14:textId="3155C9D1" w:rsidR="00AF28C7" w:rsidRDefault="00AF28C7" w:rsidP="00AF28C7">
      <w:pPr>
        <w:pStyle w:val="Logos"/>
        <w:tabs>
          <w:tab w:val="right" w:pos="9498"/>
        </w:tabs>
      </w:pPr>
      <w:r>
        <w:lastRenderedPageBreak/>
        <w:drawing>
          <wp:inline distT="0" distB="0" distL="0" distR="0" wp14:anchorId="44C24562" wp14:editId="4901A128">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5B9A8D85" w14:textId="24B48284" w:rsidR="009F41B6" w:rsidRDefault="009F41B6" w:rsidP="009F41B6">
      <w:pPr>
        <w:pStyle w:val="CopyrightSpacing"/>
      </w:pPr>
      <w:r>
        <w:t xml:space="preserve">© Crown copyright </w:t>
      </w:r>
      <w:r w:rsidR="00521E56">
        <w:t>2017</w:t>
      </w:r>
    </w:p>
    <w:p w14:paraId="3275F797" w14:textId="67D35F64" w:rsidR="005A4AE2" w:rsidRPr="0090521B" w:rsidRDefault="009A602D" w:rsidP="0090521B">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72A83578" w14:textId="4D79D92B" w:rsidR="005A4AE2" w:rsidRDefault="006155C4" w:rsidP="005A4AE2">
      <w:pPr>
        <w:pStyle w:val="LicenceIntro"/>
      </w:pPr>
      <w:r>
        <w:t xml:space="preserve">To view </w:t>
      </w:r>
      <w:r w:rsidR="005A4AE2">
        <w:t>this licence:</w:t>
      </w:r>
    </w:p>
    <w:p w14:paraId="7A9FBF1D" w14:textId="740DD1A8" w:rsidR="00F96EB7" w:rsidRDefault="005A4AE2" w:rsidP="005A4AE2">
      <w:pPr>
        <w:pStyle w:val="Licence"/>
      </w:pPr>
      <w:r>
        <w:t xml:space="preserve">visit </w:t>
      </w:r>
      <w:r>
        <w:tab/>
      </w:r>
      <w:hyperlink r:id="rId16" w:tooltip="Link to National Archives website" w:history="1">
        <w:r w:rsidR="00F96EB7">
          <w:rPr>
            <w:rStyle w:val="Hyperlink"/>
            <w:rFonts w:cs="Arial"/>
          </w:rPr>
          <w:t>www.nationalarchives.gov.uk/doc/open-government-licence/version/3</w:t>
        </w:r>
      </w:hyperlink>
      <w:r w:rsidR="00F96EB7">
        <w:rPr>
          <w:rFonts w:cs="Arial"/>
        </w:rPr>
        <w:t> </w:t>
      </w:r>
    </w:p>
    <w:p w14:paraId="4A85E209" w14:textId="77777777" w:rsidR="005A4AE2" w:rsidRDefault="005A4AE2" w:rsidP="005A4AE2">
      <w:pPr>
        <w:pStyle w:val="Licence"/>
        <w:rPr>
          <w:rStyle w:val="Hyperlink"/>
        </w:rPr>
      </w:pPr>
      <w:r>
        <w:t xml:space="preserve">email </w:t>
      </w:r>
      <w:r>
        <w:tab/>
      </w:r>
      <w:hyperlink r:id="rId17" w:tooltip="The National Archives' email address" w:history="1">
        <w:r>
          <w:rPr>
            <w:rStyle w:val="Hyperlink"/>
          </w:rPr>
          <w:t>psi@nationalarchives.gsi.gov.uk</w:t>
        </w:r>
      </w:hyperlink>
    </w:p>
    <w:p w14:paraId="32FF7C29" w14:textId="597AE021" w:rsidR="009A602D" w:rsidRDefault="009A602D" w:rsidP="005A4AE2">
      <w:pPr>
        <w:pStyle w:val="Licence"/>
      </w:pPr>
      <w:r>
        <w:t>write to</w:t>
      </w:r>
      <w:r>
        <w:tab/>
        <w:t>Information Policy Team, The National Archives, Kew, London, TW9 4DU</w:t>
      </w:r>
    </w:p>
    <w:p w14:paraId="0D3D4758" w14:textId="77777777" w:rsidR="005A4AE2" w:rsidRDefault="005A4AE2" w:rsidP="005A4AE2">
      <w:pPr>
        <w:pStyle w:val="LicenceIntro"/>
      </w:pPr>
      <w:r>
        <w:t>About this publication:</w:t>
      </w:r>
    </w:p>
    <w:p w14:paraId="02E6A6CE" w14:textId="77777777" w:rsidR="005A4AE2" w:rsidRDefault="005A4AE2" w:rsidP="005A4AE2">
      <w:pPr>
        <w:pStyle w:val="Licence"/>
      </w:pPr>
      <w:r>
        <w:t xml:space="preserve">enquiries  </w:t>
      </w:r>
      <w:r>
        <w:tab/>
      </w:r>
      <w:hyperlink r:id="rId18" w:tooltip="Department for Education contact us list" w:history="1">
        <w:r>
          <w:rPr>
            <w:rStyle w:val="Hyperlink"/>
          </w:rPr>
          <w:t>www.education.gov.uk/contactus</w:t>
        </w:r>
      </w:hyperlink>
      <w:r>
        <w:t xml:space="preserve"> </w:t>
      </w:r>
    </w:p>
    <w:p w14:paraId="6599EA46" w14:textId="3FA3ECFB" w:rsidR="005A4AE2" w:rsidRDefault="005A4AE2" w:rsidP="005A4AE2">
      <w:pPr>
        <w:pStyle w:val="Licence"/>
      </w:pPr>
      <w:r>
        <w:t xml:space="preserve">download </w:t>
      </w:r>
      <w:r>
        <w:tab/>
      </w:r>
      <w:hyperlink r:id="rId19" w:tooltip="Link to GOV.UK list of publications" w:history="1">
        <w:r w:rsidR="006E22B1" w:rsidRPr="00D42B65">
          <w:rPr>
            <w:rStyle w:val="Hyperlink"/>
          </w:rPr>
          <w:t>www.gov.uk/government/publications</w:t>
        </w:r>
      </w:hyperlink>
      <w:r>
        <w:t xml:space="preserve"> </w:t>
      </w:r>
    </w:p>
    <w:p w14:paraId="5CBD7D89" w14:textId="77777777" w:rsidR="005A4AE2" w:rsidRPr="007D29D3" w:rsidRDefault="005A4AE2" w:rsidP="007D29D3">
      <w:pPr>
        <w:pStyle w:val="Reference"/>
      </w:pPr>
      <w:r w:rsidRPr="007D29D3">
        <w:t xml:space="preserve">Reference: </w:t>
      </w:r>
      <w:r w:rsidRPr="007D29D3">
        <w:tab/>
        <w:t>[000-000-000]</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5A4AE2" w14:paraId="4C550AE2" w14:textId="77777777" w:rsidTr="005A4AE2">
        <w:trPr>
          <w:tblHeader/>
        </w:trPr>
        <w:tc>
          <w:tcPr>
            <w:tcW w:w="1276" w:type="dxa"/>
            <w:hideMark/>
          </w:tcPr>
          <w:p w14:paraId="6C85D625" w14:textId="40A3DA2B" w:rsidR="005A4AE2" w:rsidRDefault="005A4AE2">
            <w:pPr>
              <w:pStyle w:val="SocialMedia"/>
              <w:tabs>
                <w:tab w:val="clear" w:pos="4253"/>
                <w:tab w:val="left" w:pos="176"/>
              </w:tabs>
            </w:pPr>
            <w:r>
              <w:tab/>
            </w:r>
            <w:r>
              <w:drawing>
                <wp:inline distT="0" distB="0" distL="0" distR="0" wp14:anchorId="295E22B3" wp14:editId="0D3EE355">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6575406D" w14:textId="4F2EF177" w:rsidR="005A4AE2" w:rsidRDefault="006429B3">
            <w:pPr>
              <w:pStyle w:val="SocialMedia"/>
            </w:pPr>
            <w:r>
              <w:t>Follow us on T</w:t>
            </w:r>
            <w:r w:rsidR="005A4AE2">
              <w:t xml:space="preserve">witter: </w:t>
            </w:r>
            <w:hyperlink r:id="rId21" w:tooltip="View the DfE Twitter profile page" w:history="1">
              <w:r w:rsidR="005A4AE2">
                <w:rPr>
                  <w:rStyle w:val="Hyperlink"/>
                </w:rPr>
                <w:t>@educationgovuk</w:t>
              </w:r>
            </w:hyperlink>
          </w:p>
        </w:tc>
        <w:tc>
          <w:tcPr>
            <w:tcW w:w="935" w:type="dxa"/>
            <w:hideMark/>
          </w:tcPr>
          <w:p w14:paraId="5E358085" w14:textId="01F24DF5" w:rsidR="005A4AE2" w:rsidRDefault="005A4AE2">
            <w:pPr>
              <w:pStyle w:val="SocialMedia"/>
            </w:pPr>
            <w:r>
              <w:drawing>
                <wp:inline distT="0" distB="0" distL="0" distR="0" wp14:anchorId="1B65FBB4" wp14:editId="0D43ED46">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45904FDF" w14:textId="4D2BFB35" w:rsidR="005A4AE2" w:rsidRDefault="006429B3">
            <w:pPr>
              <w:pStyle w:val="SocialMedia"/>
            </w:pPr>
            <w:r>
              <w:t>Like us on F</w:t>
            </w:r>
            <w:r w:rsidR="005A4AE2">
              <w:t>acebook:</w:t>
            </w:r>
            <w:r w:rsidR="005A4AE2">
              <w:br/>
            </w:r>
            <w:hyperlink r:id="rId23" w:tooltip="Link the DfE on Facebook" w:history="1">
              <w:r w:rsidR="005A4AE2">
                <w:rPr>
                  <w:rStyle w:val="Hyperlink"/>
                </w:rPr>
                <w:t>facebook.com/educationgovuk</w:t>
              </w:r>
            </w:hyperlink>
          </w:p>
        </w:tc>
      </w:tr>
    </w:tbl>
    <w:p w14:paraId="451E048F" w14:textId="77777777" w:rsidR="009F41B6" w:rsidRDefault="009F41B6" w:rsidP="0090521B">
      <w:pPr>
        <w:pStyle w:val="CopyrightBox"/>
      </w:pPr>
    </w:p>
    <w:sectPr w:rsidR="009F41B6" w:rsidSect="00814D1A">
      <w:footerReference w:type="default" r:id="rId24"/>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6FB75" w14:textId="77777777" w:rsidR="001D003A" w:rsidRDefault="001D003A" w:rsidP="009F41B6">
      <w:r>
        <w:separator/>
      </w:r>
    </w:p>
    <w:p w14:paraId="0D39C3FF" w14:textId="77777777" w:rsidR="001D003A" w:rsidRDefault="001D003A" w:rsidP="009F41B6"/>
  </w:endnote>
  <w:endnote w:type="continuationSeparator" w:id="0">
    <w:p w14:paraId="12F020EE" w14:textId="77777777" w:rsidR="001D003A" w:rsidRDefault="001D003A" w:rsidP="009F41B6">
      <w:r>
        <w:continuationSeparator/>
      </w:r>
    </w:p>
    <w:p w14:paraId="212C056F" w14:textId="77777777" w:rsidR="001D003A" w:rsidRDefault="001D003A" w:rsidP="009F41B6"/>
  </w:endnote>
  <w:endnote w:type="continuationNotice" w:id="1">
    <w:p w14:paraId="156A7B61" w14:textId="77777777" w:rsidR="001D003A" w:rsidRDefault="001D0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2540"/>
      <w:docPartObj>
        <w:docPartGallery w:val="Page Numbers (Bottom of Page)"/>
        <w:docPartUnique/>
      </w:docPartObj>
    </w:sdtPr>
    <w:sdtEndPr>
      <w:rPr>
        <w:noProof/>
      </w:rPr>
    </w:sdtEndPr>
    <w:sdtContent>
      <w:p w14:paraId="02CC50FD" w14:textId="623D14E1" w:rsidR="00D21B4A" w:rsidRDefault="00D21B4A" w:rsidP="005A65F5">
        <w:pPr>
          <w:pStyle w:val="Footer"/>
          <w:ind w:firstLine="4513"/>
        </w:pPr>
        <w:r>
          <w:fldChar w:fldCharType="begin"/>
        </w:r>
        <w:r>
          <w:instrText xml:space="preserve"> PAGE   \* MERGEFORMAT </w:instrText>
        </w:r>
        <w:r>
          <w:fldChar w:fldCharType="separate"/>
        </w:r>
        <w:r w:rsidR="004F5557">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17AEB" w14:textId="77777777" w:rsidR="001D003A" w:rsidRDefault="001D003A" w:rsidP="009F41B6">
      <w:r>
        <w:separator/>
      </w:r>
    </w:p>
    <w:p w14:paraId="51B57737" w14:textId="77777777" w:rsidR="001D003A" w:rsidRDefault="001D003A" w:rsidP="009F41B6"/>
  </w:footnote>
  <w:footnote w:type="continuationSeparator" w:id="0">
    <w:p w14:paraId="0060A841" w14:textId="77777777" w:rsidR="001D003A" w:rsidRDefault="001D003A" w:rsidP="009F41B6">
      <w:r>
        <w:continuationSeparator/>
      </w:r>
    </w:p>
    <w:p w14:paraId="17236CCE" w14:textId="77777777" w:rsidR="001D003A" w:rsidRDefault="001D003A" w:rsidP="009F41B6"/>
  </w:footnote>
  <w:footnote w:type="continuationNotice" w:id="1">
    <w:p w14:paraId="5721D33B" w14:textId="77777777" w:rsidR="001D003A" w:rsidRDefault="001D003A">
      <w:pPr>
        <w:spacing w:after="0" w:line="240" w:lineRule="auto"/>
      </w:pPr>
    </w:p>
  </w:footnote>
  <w:footnote w:id="2">
    <w:p w14:paraId="5E6F151B" w14:textId="27CD0DB4" w:rsidR="00DA56BC" w:rsidRDefault="00DA56BC">
      <w:pPr>
        <w:pStyle w:val="FootnoteText"/>
      </w:pPr>
      <w:r>
        <w:rPr>
          <w:rStyle w:val="FootnoteReference"/>
        </w:rPr>
        <w:footnoteRef/>
      </w:r>
      <w:r>
        <w:t xml:space="preserve"> 30 hours free childcare</w:t>
      </w:r>
      <w:r w:rsidRPr="00DA56BC">
        <w:t xml:space="preserve"> will be referred to as ‘30 hours’ throughout this guidance.</w:t>
      </w:r>
    </w:p>
  </w:footnote>
  <w:footnote w:id="3">
    <w:p w14:paraId="0704AC70" w14:textId="21F57B5E" w:rsidR="00DA56BC" w:rsidRDefault="00DA56BC">
      <w:pPr>
        <w:pStyle w:val="FootnoteText"/>
      </w:pPr>
      <w:r>
        <w:rPr>
          <w:rStyle w:val="FootnoteReference"/>
        </w:rPr>
        <w:footnoteRef/>
      </w:r>
      <w:r>
        <w:t xml:space="preserve"> </w:t>
      </w:r>
      <w:hyperlink r:id="rId1" w:history="1">
        <w:r w:rsidRPr="000641F4">
          <w:rPr>
            <w:rStyle w:val="Hyperlink"/>
            <w:sz w:val="20"/>
          </w:rPr>
          <w:t>https://www.gov.uk/government/publications/early-rollout-of-30-hours-free-childcare-evaluation</w:t>
        </w:r>
      </w:hyperlink>
      <w:r>
        <w:t xml:space="preserve">;   </w:t>
      </w:r>
      <w:hyperlink r:id="rId2" w:history="1">
        <w:r w:rsidRPr="000641F4">
          <w:rPr>
            <w:rStyle w:val="Hyperlink"/>
            <w:sz w:val="20"/>
          </w:rPr>
          <w:t>https://www.gov.uk/government/publications/30-hours-free-childcare-early-implementation-evaluation</w:t>
        </w:r>
      </w:hyperlink>
      <w:r>
        <w:t xml:space="preserve"> </w:t>
      </w:r>
    </w:p>
  </w:footnote>
  <w:footnote w:id="4">
    <w:p w14:paraId="41CD2CDA" w14:textId="2A9832A9" w:rsidR="002165FB" w:rsidRDefault="002165FB">
      <w:pPr>
        <w:pStyle w:val="FootnoteText"/>
      </w:pPr>
      <w:r>
        <w:rPr>
          <w:rStyle w:val="FootnoteReference"/>
        </w:rPr>
        <w:footnoteRef/>
      </w:r>
      <w:r>
        <w:t xml:space="preserve"> </w:t>
      </w:r>
      <w:r w:rsidRPr="002165FB">
        <w:t>As of 6th November 2017, 93% of codes had been validated via the Eligibility Checking System (ECS).</w:t>
      </w:r>
    </w:p>
  </w:footnote>
  <w:footnote w:id="5">
    <w:p w14:paraId="2B029511" w14:textId="0A25C106" w:rsidR="0099408F" w:rsidRDefault="0099408F">
      <w:pPr>
        <w:pStyle w:val="FootnoteText"/>
      </w:pPr>
      <w:r>
        <w:rPr>
          <w:rStyle w:val="FootnoteReference"/>
        </w:rPr>
        <w:footnoteRef/>
      </w:r>
      <w:r>
        <w:t xml:space="preserve"> </w:t>
      </w:r>
      <w:r w:rsidRPr="0099408F">
        <w:t xml:space="preserve">All funding that is used for communications activity is within scope of the government’s Efficiency Controls, and will be subject to approval.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BEC23F2"/>
    <w:lvl w:ilvl="0">
      <w:start w:val="1"/>
      <w:numFmt w:val="bullet"/>
      <w:pStyle w:val="ListBullet4"/>
      <w:lvlText w:val=""/>
      <w:lvlJc w:val="left"/>
      <w:pPr>
        <w:tabs>
          <w:tab w:val="num" w:pos="849"/>
        </w:tabs>
        <w:ind w:left="849" w:hanging="360"/>
      </w:pPr>
      <w:rPr>
        <w:rFonts w:ascii="Symbol" w:hAnsi="Symbol" w:hint="default"/>
      </w:rPr>
    </w:lvl>
  </w:abstractNum>
  <w:abstractNum w:abstractNumId="1">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0935A2"/>
    <w:multiLevelType w:val="hybridMultilevel"/>
    <w:tmpl w:val="953CA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177A5E"/>
    <w:multiLevelType w:val="hybridMultilevel"/>
    <w:tmpl w:val="773E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nsid w:val="18094151"/>
    <w:multiLevelType w:val="hybridMultilevel"/>
    <w:tmpl w:val="0DCEF7DC"/>
    <w:lvl w:ilvl="0" w:tplc="55A61C1C">
      <w:start w:val="1"/>
      <w:numFmt w:val="lowerLetter"/>
      <w:lvlText w:val="%1)"/>
      <w:lvlJc w:val="left"/>
      <w:pPr>
        <w:ind w:left="92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F2A547E"/>
    <w:multiLevelType w:val="hybridMultilevel"/>
    <w:tmpl w:val="61F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9B49C2"/>
    <w:multiLevelType w:val="hybridMultilevel"/>
    <w:tmpl w:val="B4A24D04"/>
    <w:lvl w:ilvl="0" w:tplc="1878F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F90BF9"/>
    <w:multiLevelType w:val="hybridMultilevel"/>
    <w:tmpl w:val="4CB2A8F4"/>
    <w:lvl w:ilvl="0" w:tplc="18D27F1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20">
    <w:nsid w:val="402936B2"/>
    <w:multiLevelType w:val="hybridMultilevel"/>
    <w:tmpl w:val="FFBA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662643D"/>
    <w:multiLevelType w:val="hybridMultilevel"/>
    <w:tmpl w:val="14288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9FC7039"/>
    <w:multiLevelType w:val="hybridMultilevel"/>
    <w:tmpl w:val="68D89342"/>
    <w:lvl w:ilvl="0" w:tplc="0809000F">
      <w:start w:val="1"/>
      <w:numFmt w:val="decimal"/>
      <w:lvlText w:val="%1."/>
      <w:lvlJc w:val="left"/>
      <w:pPr>
        <w:ind w:left="720" w:hanging="360"/>
      </w:pPr>
      <w:rPr>
        <w:rFonts w:hint="default"/>
      </w:rPr>
    </w:lvl>
    <w:lvl w:ilvl="1" w:tplc="77E0352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AD2A7B"/>
    <w:multiLevelType w:val="hybridMultilevel"/>
    <w:tmpl w:val="B748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34791"/>
    <w:multiLevelType w:val="hybridMultilevel"/>
    <w:tmpl w:val="80CEC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1A7A44"/>
    <w:multiLevelType w:val="hybridMultilevel"/>
    <w:tmpl w:val="1230212C"/>
    <w:lvl w:ilvl="0" w:tplc="FBE2B0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FB07F8F"/>
    <w:multiLevelType w:val="hybridMultilevel"/>
    <w:tmpl w:val="14288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4F6410"/>
    <w:multiLevelType w:val="hybridMultilevel"/>
    <w:tmpl w:val="59B28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6"/>
  </w:num>
  <w:num w:numId="4">
    <w:abstractNumId w:val="0"/>
  </w:num>
  <w:num w:numId="5">
    <w:abstractNumId w:val="19"/>
  </w:num>
  <w:num w:numId="6">
    <w:abstractNumId w:val="5"/>
  </w:num>
  <w:num w:numId="7">
    <w:abstractNumId w:val="22"/>
  </w:num>
  <w:num w:numId="8">
    <w:abstractNumId w:val="24"/>
  </w:num>
  <w:num w:numId="9">
    <w:abstractNumId w:val="2"/>
  </w:num>
  <w:num w:numId="10">
    <w:abstractNumId w:val="1"/>
  </w:num>
  <w:num w:numId="11">
    <w:abstractNumId w:val="16"/>
  </w:num>
  <w:num w:numId="12">
    <w:abstractNumId w:val="36"/>
  </w:num>
  <w:num w:numId="13">
    <w:abstractNumId w:val="3"/>
  </w:num>
  <w:num w:numId="14">
    <w:abstractNumId w:val="15"/>
  </w:num>
  <w:num w:numId="15">
    <w:abstractNumId w:val="3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12"/>
  </w:num>
  <w:num w:numId="20">
    <w:abstractNumId w:val="32"/>
  </w:num>
  <w:num w:numId="21">
    <w:abstractNumId w:val="24"/>
  </w:num>
  <w:num w:numId="22">
    <w:abstractNumId w:val="27"/>
  </w:num>
  <w:num w:numId="23">
    <w:abstractNumId w:val="24"/>
  </w:num>
  <w:num w:numId="24">
    <w:abstractNumId w:val="7"/>
  </w:num>
  <w:num w:numId="25">
    <w:abstractNumId w:val="17"/>
  </w:num>
  <w:num w:numId="26">
    <w:abstractNumId w:val="34"/>
  </w:num>
  <w:num w:numId="27">
    <w:abstractNumId w:val="10"/>
  </w:num>
  <w:num w:numId="28">
    <w:abstractNumId w:val="12"/>
  </w:num>
  <w:num w:numId="29">
    <w:abstractNumId w:val="26"/>
  </w:num>
  <w:num w:numId="30">
    <w:abstractNumId w:val="24"/>
  </w:num>
  <w:num w:numId="31">
    <w:abstractNumId w:val="38"/>
  </w:num>
  <w:num w:numId="32">
    <w:abstractNumId w:val="21"/>
  </w:num>
  <w:num w:numId="33">
    <w:abstractNumId w:val="35"/>
  </w:num>
  <w:num w:numId="34">
    <w:abstractNumId w:val="29"/>
  </w:num>
  <w:num w:numId="35">
    <w:abstractNumId w:val="8"/>
  </w:num>
  <w:num w:numId="36">
    <w:abstractNumId w:val="9"/>
  </w:num>
  <w:num w:numId="37">
    <w:abstractNumId w:val="30"/>
  </w:num>
  <w:num w:numId="38">
    <w:abstractNumId w:val="20"/>
  </w:num>
  <w:num w:numId="39">
    <w:abstractNumId w:val="13"/>
  </w:num>
  <w:num w:numId="40">
    <w:abstractNumId w:val="37"/>
  </w:num>
  <w:num w:numId="41">
    <w:abstractNumId w:val="31"/>
  </w:num>
  <w:num w:numId="42">
    <w:abstractNumId w:val="14"/>
  </w:num>
  <w:num w:numId="43">
    <w:abstractNumId w:val="28"/>
  </w:num>
  <w:num w:numId="44">
    <w:abstractNumId w:val="11"/>
  </w:num>
  <w:num w:numId="45">
    <w:abstractNumId w:val="23"/>
  </w:num>
  <w:num w:numId="4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00CCE"/>
    <w:rsid w:val="00011A88"/>
    <w:rsid w:val="00013A6E"/>
    <w:rsid w:val="0002203B"/>
    <w:rsid w:val="00023913"/>
    <w:rsid w:val="00030ABD"/>
    <w:rsid w:val="00031B79"/>
    <w:rsid w:val="00031F36"/>
    <w:rsid w:val="000442BD"/>
    <w:rsid w:val="00051E2E"/>
    <w:rsid w:val="00053503"/>
    <w:rsid w:val="00057100"/>
    <w:rsid w:val="000619CA"/>
    <w:rsid w:val="00066B1C"/>
    <w:rsid w:val="0007258F"/>
    <w:rsid w:val="00074179"/>
    <w:rsid w:val="00083A73"/>
    <w:rsid w:val="00087F83"/>
    <w:rsid w:val="00095901"/>
    <w:rsid w:val="000A10F4"/>
    <w:rsid w:val="000B3DE0"/>
    <w:rsid w:val="000B4A3E"/>
    <w:rsid w:val="000B524B"/>
    <w:rsid w:val="000D1D30"/>
    <w:rsid w:val="000D4433"/>
    <w:rsid w:val="000D5697"/>
    <w:rsid w:val="000E179B"/>
    <w:rsid w:val="000E3350"/>
    <w:rsid w:val="000F1A98"/>
    <w:rsid w:val="000F22D0"/>
    <w:rsid w:val="000F73F3"/>
    <w:rsid w:val="000F7F9C"/>
    <w:rsid w:val="00103E77"/>
    <w:rsid w:val="00110DEF"/>
    <w:rsid w:val="00113E8C"/>
    <w:rsid w:val="0011494F"/>
    <w:rsid w:val="00121C6C"/>
    <w:rsid w:val="001321D2"/>
    <w:rsid w:val="00133075"/>
    <w:rsid w:val="001371F2"/>
    <w:rsid w:val="001438CE"/>
    <w:rsid w:val="00147214"/>
    <w:rsid w:val="00152A3A"/>
    <w:rsid w:val="001540AB"/>
    <w:rsid w:val="00155ECC"/>
    <w:rsid w:val="001615DF"/>
    <w:rsid w:val="00161A13"/>
    <w:rsid w:val="00171F6B"/>
    <w:rsid w:val="00174104"/>
    <w:rsid w:val="001747E2"/>
    <w:rsid w:val="00176EB9"/>
    <w:rsid w:val="00190C3A"/>
    <w:rsid w:val="00192085"/>
    <w:rsid w:val="00195E9E"/>
    <w:rsid w:val="00196306"/>
    <w:rsid w:val="001A3A04"/>
    <w:rsid w:val="001B2AE2"/>
    <w:rsid w:val="001B4452"/>
    <w:rsid w:val="001B5C15"/>
    <w:rsid w:val="001B796F"/>
    <w:rsid w:val="001C4E9C"/>
    <w:rsid w:val="001C55FC"/>
    <w:rsid w:val="001C5A63"/>
    <w:rsid w:val="001C5EB6"/>
    <w:rsid w:val="001D003A"/>
    <w:rsid w:val="001D09EC"/>
    <w:rsid w:val="001D5770"/>
    <w:rsid w:val="001E3581"/>
    <w:rsid w:val="001F2BD8"/>
    <w:rsid w:val="00203ACA"/>
    <w:rsid w:val="00203EC9"/>
    <w:rsid w:val="00210E6D"/>
    <w:rsid w:val="002113CF"/>
    <w:rsid w:val="00214378"/>
    <w:rsid w:val="00214713"/>
    <w:rsid w:val="002165FB"/>
    <w:rsid w:val="0022255C"/>
    <w:rsid w:val="0022489D"/>
    <w:rsid w:val="002262F3"/>
    <w:rsid w:val="00230559"/>
    <w:rsid w:val="002332F8"/>
    <w:rsid w:val="00234F75"/>
    <w:rsid w:val="00240F4B"/>
    <w:rsid w:val="002575C5"/>
    <w:rsid w:val="0026192A"/>
    <w:rsid w:val="002634E2"/>
    <w:rsid w:val="00266DB3"/>
    <w:rsid w:val="0027230F"/>
    <w:rsid w:val="0027252F"/>
    <w:rsid w:val="00273718"/>
    <w:rsid w:val="002839B5"/>
    <w:rsid w:val="00287788"/>
    <w:rsid w:val="00292DED"/>
    <w:rsid w:val="002A28F7"/>
    <w:rsid w:val="002A3153"/>
    <w:rsid w:val="002B2775"/>
    <w:rsid w:val="002C3AA4"/>
    <w:rsid w:val="002D4B69"/>
    <w:rsid w:val="002D5AF9"/>
    <w:rsid w:val="002D7BA5"/>
    <w:rsid w:val="002E463F"/>
    <w:rsid w:val="002E4E9A"/>
    <w:rsid w:val="002E508B"/>
    <w:rsid w:val="002E5F9F"/>
    <w:rsid w:val="002E7368"/>
    <w:rsid w:val="002E7849"/>
    <w:rsid w:val="002F090C"/>
    <w:rsid w:val="002F15EE"/>
    <w:rsid w:val="002F6A4F"/>
    <w:rsid w:val="002F7128"/>
    <w:rsid w:val="00300F99"/>
    <w:rsid w:val="00312AED"/>
    <w:rsid w:val="003154AC"/>
    <w:rsid w:val="00316DD9"/>
    <w:rsid w:val="00323776"/>
    <w:rsid w:val="00325D84"/>
    <w:rsid w:val="00335644"/>
    <w:rsid w:val="0034222D"/>
    <w:rsid w:val="00361752"/>
    <w:rsid w:val="00361FE6"/>
    <w:rsid w:val="003629E5"/>
    <w:rsid w:val="00366D09"/>
    <w:rsid w:val="00371AA6"/>
    <w:rsid w:val="00374672"/>
    <w:rsid w:val="00374981"/>
    <w:rsid w:val="003810D8"/>
    <w:rsid w:val="003853A4"/>
    <w:rsid w:val="0039436A"/>
    <w:rsid w:val="003A01C4"/>
    <w:rsid w:val="003A1CC2"/>
    <w:rsid w:val="003B63DB"/>
    <w:rsid w:val="003C1442"/>
    <w:rsid w:val="003C58D0"/>
    <w:rsid w:val="003C60B5"/>
    <w:rsid w:val="003C7B5F"/>
    <w:rsid w:val="003D1EFE"/>
    <w:rsid w:val="003D764C"/>
    <w:rsid w:val="003E129B"/>
    <w:rsid w:val="003E1329"/>
    <w:rsid w:val="003E4B03"/>
    <w:rsid w:val="003E66EC"/>
    <w:rsid w:val="003E6878"/>
    <w:rsid w:val="003F63E0"/>
    <w:rsid w:val="003F751E"/>
    <w:rsid w:val="00407032"/>
    <w:rsid w:val="00416220"/>
    <w:rsid w:val="00421F3D"/>
    <w:rsid w:val="004242C5"/>
    <w:rsid w:val="00424503"/>
    <w:rsid w:val="0043261E"/>
    <w:rsid w:val="004339FB"/>
    <w:rsid w:val="00437A55"/>
    <w:rsid w:val="004403F8"/>
    <w:rsid w:val="00445E79"/>
    <w:rsid w:val="004509BE"/>
    <w:rsid w:val="004572EE"/>
    <w:rsid w:val="00467BC5"/>
    <w:rsid w:val="00470223"/>
    <w:rsid w:val="00471FEE"/>
    <w:rsid w:val="004726CF"/>
    <w:rsid w:val="0047318F"/>
    <w:rsid w:val="00483A21"/>
    <w:rsid w:val="004866AD"/>
    <w:rsid w:val="00487E76"/>
    <w:rsid w:val="004A0DEE"/>
    <w:rsid w:val="004A25DF"/>
    <w:rsid w:val="004B19E5"/>
    <w:rsid w:val="004B4394"/>
    <w:rsid w:val="004B6B92"/>
    <w:rsid w:val="004B7EA8"/>
    <w:rsid w:val="004C34CB"/>
    <w:rsid w:val="004D0B5A"/>
    <w:rsid w:val="004D13A3"/>
    <w:rsid w:val="004E320E"/>
    <w:rsid w:val="004E372E"/>
    <w:rsid w:val="004E6CD9"/>
    <w:rsid w:val="004F20E3"/>
    <w:rsid w:val="004F211A"/>
    <w:rsid w:val="004F3159"/>
    <w:rsid w:val="004F4AEF"/>
    <w:rsid w:val="004F5557"/>
    <w:rsid w:val="004F70A9"/>
    <w:rsid w:val="0050240D"/>
    <w:rsid w:val="005044A7"/>
    <w:rsid w:val="00504E27"/>
    <w:rsid w:val="00513B64"/>
    <w:rsid w:val="0051693A"/>
    <w:rsid w:val="00521E56"/>
    <w:rsid w:val="0052566B"/>
    <w:rsid w:val="00534DE3"/>
    <w:rsid w:val="00536E0B"/>
    <w:rsid w:val="005420DD"/>
    <w:rsid w:val="00550E2B"/>
    <w:rsid w:val="00551541"/>
    <w:rsid w:val="005535E5"/>
    <w:rsid w:val="00553E4E"/>
    <w:rsid w:val="0055496A"/>
    <w:rsid w:val="005552BF"/>
    <w:rsid w:val="00560451"/>
    <w:rsid w:val="00562261"/>
    <w:rsid w:val="005623DB"/>
    <w:rsid w:val="0056283E"/>
    <w:rsid w:val="00566C31"/>
    <w:rsid w:val="0057250B"/>
    <w:rsid w:val="00574294"/>
    <w:rsid w:val="005749C5"/>
    <w:rsid w:val="0057670A"/>
    <w:rsid w:val="00581D79"/>
    <w:rsid w:val="00585490"/>
    <w:rsid w:val="005905B1"/>
    <w:rsid w:val="005914F1"/>
    <w:rsid w:val="0059494A"/>
    <w:rsid w:val="005A07FF"/>
    <w:rsid w:val="005A4AE2"/>
    <w:rsid w:val="005A51CE"/>
    <w:rsid w:val="005A65F5"/>
    <w:rsid w:val="005A67AA"/>
    <w:rsid w:val="005A6DE5"/>
    <w:rsid w:val="005A7831"/>
    <w:rsid w:val="005A7D82"/>
    <w:rsid w:val="005B1536"/>
    <w:rsid w:val="005B241C"/>
    <w:rsid w:val="005B2FD4"/>
    <w:rsid w:val="005C0B41"/>
    <w:rsid w:val="005C1447"/>
    <w:rsid w:val="005C1770"/>
    <w:rsid w:val="005C22AD"/>
    <w:rsid w:val="005C2466"/>
    <w:rsid w:val="005C6146"/>
    <w:rsid w:val="005C6416"/>
    <w:rsid w:val="005C657D"/>
    <w:rsid w:val="005D05CE"/>
    <w:rsid w:val="005D252F"/>
    <w:rsid w:val="005D380A"/>
    <w:rsid w:val="005D415A"/>
    <w:rsid w:val="005E0DA2"/>
    <w:rsid w:val="005E3379"/>
    <w:rsid w:val="005F107C"/>
    <w:rsid w:val="00602008"/>
    <w:rsid w:val="0060702F"/>
    <w:rsid w:val="006108B3"/>
    <w:rsid w:val="00611F91"/>
    <w:rsid w:val="006155C4"/>
    <w:rsid w:val="00622C3D"/>
    <w:rsid w:val="006237FB"/>
    <w:rsid w:val="006248B1"/>
    <w:rsid w:val="00626DD2"/>
    <w:rsid w:val="0063084E"/>
    <w:rsid w:val="00633E4E"/>
    <w:rsid w:val="00635D57"/>
    <w:rsid w:val="006418B2"/>
    <w:rsid w:val="00642404"/>
    <w:rsid w:val="006429B3"/>
    <w:rsid w:val="00647EFA"/>
    <w:rsid w:val="00652973"/>
    <w:rsid w:val="006558CA"/>
    <w:rsid w:val="00657E79"/>
    <w:rsid w:val="006606F5"/>
    <w:rsid w:val="0067185E"/>
    <w:rsid w:val="00671B64"/>
    <w:rsid w:val="00671D5B"/>
    <w:rsid w:val="006775FA"/>
    <w:rsid w:val="006814D7"/>
    <w:rsid w:val="0068544D"/>
    <w:rsid w:val="00685B6D"/>
    <w:rsid w:val="00691FDE"/>
    <w:rsid w:val="00695D08"/>
    <w:rsid w:val="006A27AA"/>
    <w:rsid w:val="006A3602"/>
    <w:rsid w:val="006B1F9F"/>
    <w:rsid w:val="006C382D"/>
    <w:rsid w:val="006C3C6B"/>
    <w:rsid w:val="006C4C1C"/>
    <w:rsid w:val="006D1162"/>
    <w:rsid w:val="006D67EB"/>
    <w:rsid w:val="006E22B1"/>
    <w:rsid w:val="006E7F39"/>
    <w:rsid w:val="006F1F96"/>
    <w:rsid w:val="006F2102"/>
    <w:rsid w:val="006F6DC9"/>
    <w:rsid w:val="00700337"/>
    <w:rsid w:val="00700B01"/>
    <w:rsid w:val="00702EBF"/>
    <w:rsid w:val="00713414"/>
    <w:rsid w:val="00715880"/>
    <w:rsid w:val="00730350"/>
    <w:rsid w:val="00730EF3"/>
    <w:rsid w:val="0073516C"/>
    <w:rsid w:val="00737333"/>
    <w:rsid w:val="007403F5"/>
    <w:rsid w:val="007426B3"/>
    <w:rsid w:val="00743353"/>
    <w:rsid w:val="00745C9F"/>
    <w:rsid w:val="00747CD7"/>
    <w:rsid w:val="0075096B"/>
    <w:rsid w:val="00751648"/>
    <w:rsid w:val="00760615"/>
    <w:rsid w:val="0076231A"/>
    <w:rsid w:val="00764D03"/>
    <w:rsid w:val="00765E95"/>
    <w:rsid w:val="00766306"/>
    <w:rsid w:val="00774F55"/>
    <w:rsid w:val="00775D8A"/>
    <w:rsid w:val="0077659E"/>
    <w:rsid w:val="00777AD4"/>
    <w:rsid w:val="00780950"/>
    <w:rsid w:val="007809EF"/>
    <w:rsid w:val="00783D2C"/>
    <w:rsid w:val="00794F29"/>
    <w:rsid w:val="007A0750"/>
    <w:rsid w:val="007A1326"/>
    <w:rsid w:val="007A2250"/>
    <w:rsid w:val="007A5759"/>
    <w:rsid w:val="007A6352"/>
    <w:rsid w:val="007B3CFE"/>
    <w:rsid w:val="007C321D"/>
    <w:rsid w:val="007C3468"/>
    <w:rsid w:val="007C41A5"/>
    <w:rsid w:val="007C56C5"/>
    <w:rsid w:val="007C58BE"/>
    <w:rsid w:val="007C7EEE"/>
    <w:rsid w:val="007D0537"/>
    <w:rsid w:val="007D080B"/>
    <w:rsid w:val="007D29D3"/>
    <w:rsid w:val="007E06DD"/>
    <w:rsid w:val="007E35BC"/>
    <w:rsid w:val="007E7387"/>
    <w:rsid w:val="007F1ACB"/>
    <w:rsid w:val="007F670A"/>
    <w:rsid w:val="007F7235"/>
    <w:rsid w:val="00813EDD"/>
    <w:rsid w:val="00814D1A"/>
    <w:rsid w:val="008168A2"/>
    <w:rsid w:val="00816E77"/>
    <w:rsid w:val="0081799D"/>
    <w:rsid w:val="00817AF3"/>
    <w:rsid w:val="00821CD3"/>
    <w:rsid w:val="00824E92"/>
    <w:rsid w:val="008250DA"/>
    <w:rsid w:val="00827FF1"/>
    <w:rsid w:val="00831263"/>
    <w:rsid w:val="00831DB7"/>
    <w:rsid w:val="00832EBF"/>
    <w:rsid w:val="008366CB"/>
    <w:rsid w:val="00837F3A"/>
    <w:rsid w:val="008419B8"/>
    <w:rsid w:val="00844193"/>
    <w:rsid w:val="008515CE"/>
    <w:rsid w:val="00852A78"/>
    <w:rsid w:val="008620F3"/>
    <w:rsid w:val="00863986"/>
    <w:rsid w:val="00866257"/>
    <w:rsid w:val="00873006"/>
    <w:rsid w:val="00874F24"/>
    <w:rsid w:val="00876230"/>
    <w:rsid w:val="00877D5B"/>
    <w:rsid w:val="00877ECD"/>
    <w:rsid w:val="00886B1E"/>
    <w:rsid w:val="008872DF"/>
    <w:rsid w:val="0089094C"/>
    <w:rsid w:val="008A4179"/>
    <w:rsid w:val="008A460D"/>
    <w:rsid w:val="008A4CD5"/>
    <w:rsid w:val="008A588F"/>
    <w:rsid w:val="008A644A"/>
    <w:rsid w:val="008A7403"/>
    <w:rsid w:val="008B05BD"/>
    <w:rsid w:val="008B0C03"/>
    <w:rsid w:val="008B0DD1"/>
    <w:rsid w:val="008B1297"/>
    <w:rsid w:val="008B250D"/>
    <w:rsid w:val="008B427B"/>
    <w:rsid w:val="008B6009"/>
    <w:rsid w:val="008C3011"/>
    <w:rsid w:val="008C46DC"/>
    <w:rsid w:val="008C702C"/>
    <w:rsid w:val="008D15AA"/>
    <w:rsid w:val="008D3C0D"/>
    <w:rsid w:val="008D6968"/>
    <w:rsid w:val="008E3B15"/>
    <w:rsid w:val="008E3F07"/>
    <w:rsid w:val="008E4B40"/>
    <w:rsid w:val="008E5F36"/>
    <w:rsid w:val="008F016F"/>
    <w:rsid w:val="008F2757"/>
    <w:rsid w:val="008F2E4F"/>
    <w:rsid w:val="008F6CA2"/>
    <w:rsid w:val="008F6F8B"/>
    <w:rsid w:val="008F7436"/>
    <w:rsid w:val="0090521B"/>
    <w:rsid w:val="009055E4"/>
    <w:rsid w:val="00917344"/>
    <w:rsid w:val="00917E9C"/>
    <w:rsid w:val="0092379D"/>
    <w:rsid w:val="00924E3D"/>
    <w:rsid w:val="00925160"/>
    <w:rsid w:val="0092542E"/>
    <w:rsid w:val="0093399C"/>
    <w:rsid w:val="00951C56"/>
    <w:rsid w:val="00955907"/>
    <w:rsid w:val="0095599F"/>
    <w:rsid w:val="00956CF7"/>
    <w:rsid w:val="00957981"/>
    <w:rsid w:val="0096424B"/>
    <w:rsid w:val="009667B9"/>
    <w:rsid w:val="009716FA"/>
    <w:rsid w:val="00984AA8"/>
    <w:rsid w:val="00985088"/>
    <w:rsid w:val="0098648B"/>
    <w:rsid w:val="0099408F"/>
    <w:rsid w:val="009A244C"/>
    <w:rsid w:val="009A602D"/>
    <w:rsid w:val="009A71DF"/>
    <w:rsid w:val="009B0DAA"/>
    <w:rsid w:val="009B32FA"/>
    <w:rsid w:val="009B57B0"/>
    <w:rsid w:val="009C13DC"/>
    <w:rsid w:val="009C73CF"/>
    <w:rsid w:val="009C7FB2"/>
    <w:rsid w:val="009D24C3"/>
    <w:rsid w:val="009D50AE"/>
    <w:rsid w:val="009E00AE"/>
    <w:rsid w:val="009E09D3"/>
    <w:rsid w:val="009E6E74"/>
    <w:rsid w:val="009F385C"/>
    <w:rsid w:val="009F41B6"/>
    <w:rsid w:val="009F434B"/>
    <w:rsid w:val="00A01CAC"/>
    <w:rsid w:val="00A0665A"/>
    <w:rsid w:val="00A06DCD"/>
    <w:rsid w:val="00A15FD8"/>
    <w:rsid w:val="00A30B07"/>
    <w:rsid w:val="00A30BA1"/>
    <w:rsid w:val="00A3403F"/>
    <w:rsid w:val="00A37DEE"/>
    <w:rsid w:val="00A433C3"/>
    <w:rsid w:val="00A50806"/>
    <w:rsid w:val="00A54BB7"/>
    <w:rsid w:val="00A5643A"/>
    <w:rsid w:val="00A5723C"/>
    <w:rsid w:val="00A573C5"/>
    <w:rsid w:val="00A60D43"/>
    <w:rsid w:val="00A66499"/>
    <w:rsid w:val="00A707A4"/>
    <w:rsid w:val="00A7274B"/>
    <w:rsid w:val="00A73FB8"/>
    <w:rsid w:val="00A763CB"/>
    <w:rsid w:val="00A772FF"/>
    <w:rsid w:val="00A801D1"/>
    <w:rsid w:val="00A81F69"/>
    <w:rsid w:val="00A852C1"/>
    <w:rsid w:val="00A91CB0"/>
    <w:rsid w:val="00A93FC0"/>
    <w:rsid w:val="00A95D3F"/>
    <w:rsid w:val="00A978C3"/>
    <w:rsid w:val="00AA000B"/>
    <w:rsid w:val="00AA3484"/>
    <w:rsid w:val="00AA44F5"/>
    <w:rsid w:val="00AA69A8"/>
    <w:rsid w:val="00AA7E7B"/>
    <w:rsid w:val="00AB1AF9"/>
    <w:rsid w:val="00AB6D0F"/>
    <w:rsid w:val="00AB7858"/>
    <w:rsid w:val="00AC61A6"/>
    <w:rsid w:val="00AD1DD2"/>
    <w:rsid w:val="00AD2062"/>
    <w:rsid w:val="00AD2F1D"/>
    <w:rsid w:val="00AD6CF9"/>
    <w:rsid w:val="00AE0E0C"/>
    <w:rsid w:val="00AE1E46"/>
    <w:rsid w:val="00AE5177"/>
    <w:rsid w:val="00AF0989"/>
    <w:rsid w:val="00AF28C7"/>
    <w:rsid w:val="00AF5913"/>
    <w:rsid w:val="00AF785C"/>
    <w:rsid w:val="00B05DDC"/>
    <w:rsid w:val="00B1029F"/>
    <w:rsid w:val="00B22E43"/>
    <w:rsid w:val="00B24866"/>
    <w:rsid w:val="00B3498C"/>
    <w:rsid w:val="00B34F49"/>
    <w:rsid w:val="00B35EEF"/>
    <w:rsid w:val="00B43CAD"/>
    <w:rsid w:val="00B450E2"/>
    <w:rsid w:val="00B51536"/>
    <w:rsid w:val="00B516A7"/>
    <w:rsid w:val="00B539C5"/>
    <w:rsid w:val="00B55A49"/>
    <w:rsid w:val="00B55B44"/>
    <w:rsid w:val="00B619B3"/>
    <w:rsid w:val="00B64265"/>
    <w:rsid w:val="00B67F76"/>
    <w:rsid w:val="00B70EFF"/>
    <w:rsid w:val="00B7558C"/>
    <w:rsid w:val="00B8058B"/>
    <w:rsid w:val="00B84FF5"/>
    <w:rsid w:val="00B85794"/>
    <w:rsid w:val="00B9194F"/>
    <w:rsid w:val="00B9597A"/>
    <w:rsid w:val="00BA003B"/>
    <w:rsid w:val="00BA2625"/>
    <w:rsid w:val="00BB05E2"/>
    <w:rsid w:val="00BB7C04"/>
    <w:rsid w:val="00BD1111"/>
    <w:rsid w:val="00BD26B6"/>
    <w:rsid w:val="00BD7DF4"/>
    <w:rsid w:val="00BE01C6"/>
    <w:rsid w:val="00BE22B3"/>
    <w:rsid w:val="00BE4DAC"/>
    <w:rsid w:val="00BE5ED1"/>
    <w:rsid w:val="00BF13F8"/>
    <w:rsid w:val="00BF3B91"/>
    <w:rsid w:val="00BF68F1"/>
    <w:rsid w:val="00BF6F83"/>
    <w:rsid w:val="00C01CFF"/>
    <w:rsid w:val="00C02C7D"/>
    <w:rsid w:val="00C0412B"/>
    <w:rsid w:val="00C073B9"/>
    <w:rsid w:val="00C13E5D"/>
    <w:rsid w:val="00C1494D"/>
    <w:rsid w:val="00C15B78"/>
    <w:rsid w:val="00C2207B"/>
    <w:rsid w:val="00C27236"/>
    <w:rsid w:val="00C32969"/>
    <w:rsid w:val="00C46129"/>
    <w:rsid w:val="00C529E8"/>
    <w:rsid w:val="00C576B6"/>
    <w:rsid w:val="00C6013F"/>
    <w:rsid w:val="00C63537"/>
    <w:rsid w:val="00C66273"/>
    <w:rsid w:val="00C6636B"/>
    <w:rsid w:val="00C70089"/>
    <w:rsid w:val="00C71561"/>
    <w:rsid w:val="00C71E70"/>
    <w:rsid w:val="00C75A77"/>
    <w:rsid w:val="00C8124F"/>
    <w:rsid w:val="00C81513"/>
    <w:rsid w:val="00C84637"/>
    <w:rsid w:val="00C9157E"/>
    <w:rsid w:val="00C92AD3"/>
    <w:rsid w:val="00C93999"/>
    <w:rsid w:val="00C9568E"/>
    <w:rsid w:val="00CA1009"/>
    <w:rsid w:val="00CA30B4"/>
    <w:rsid w:val="00CA4180"/>
    <w:rsid w:val="00CA72FC"/>
    <w:rsid w:val="00CB56F5"/>
    <w:rsid w:val="00CB6E04"/>
    <w:rsid w:val="00CC2512"/>
    <w:rsid w:val="00CC4C58"/>
    <w:rsid w:val="00CC547F"/>
    <w:rsid w:val="00CD5D21"/>
    <w:rsid w:val="00CE0E9F"/>
    <w:rsid w:val="00CE40D7"/>
    <w:rsid w:val="00CE5F52"/>
    <w:rsid w:val="00CE7906"/>
    <w:rsid w:val="00CF0E19"/>
    <w:rsid w:val="00CF11E2"/>
    <w:rsid w:val="00D05342"/>
    <w:rsid w:val="00D162C0"/>
    <w:rsid w:val="00D21B4A"/>
    <w:rsid w:val="00D2277C"/>
    <w:rsid w:val="00D23331"/>
    <w:rsid w:val="00D27D9B"/>
    <w:rsid w:val="00D376DB"/>
    <w:rsid w:val="00D402F7"/>
    <w:rsid w:val="00D40DE9"/>
    <w:rsid w:val="00D41212"/>
    <w:rsid w:val="00D42B45"/>
    <w:rsid w:val="00D4348F"/>
    <w:rsid w:val="00D55BDC"/>
    <w:rsid w:val="00D57CFC"/>
    <w:rsid w:val="00D609DD"/>
    <w:rsid w:val="00D64A19"/>
    <w:rsid w:val="00D660A1"/>
    <w:rsid w:val="00D66FFC"/>
    <w:rsid w:val="00D67A2C"/>
    <w:rsid w:val="00D71F30"/>
    <w:rsid w:val="00D736C0"/>
    <w:rsid w:val="00D8441C"/>
    <w:rsid w:val="00D92274"/>
    <w:rsid w:val="00D94339"/>
    <w:rsid w:val="00D9707F"/>
    <w:rsid w:val="00DA1F8E"/>
    <w:rsid w:val="00DA56BC"/>
    <w:rsid w:val="00DA57A4"/>
    <w:rsid w:val="00DB0D07"/>
    <w:rsid w:val="00DB1515"/>
    <w:rsid w:val="00DC0350"/>
    <w:rsid w:val="00DC18D8"/>
    <w:rsid w:val="00DC39E8"/>
    <w:rsid w:val="00DC4922"/>
    <w:rsid w:val="00DC4950"/>
    <w:rsid w:val="00DC585C"/>
    <w:rsid w:val="00DD3A4E"/>
    <w:rsid w:val="00DD51B7"/>
    <w:rsid w:val="00DD699B"/>
    <w:rsid w:val="00DD788A"/>
    <w:rsid w:val="00DE2205"/>
    <w:rsid w:val="00DE6998"/>
    <w:rsid w:val="00DF0054"/>
    <w:rsid w:val="00DF3309"/>
    <w:rsid w:val="00DF5124"/>
    <w:rsid w:val="00DF561E"/>
    <w:rsid w:val="00DF7F39"/>
    <w:rsid w:val="00E14B3B"/>
    <w:rsid w:val="00E1702C"/>
    <w:rsid w:val="00E2257D"/>
    <w:rsid w:val="00E22EE8"/>
    <w:rsid w:val="00E23ABB"/>
    <w:rsid w:val="00E23E99"/>
    <w:rsid w:val="00E3093A"/>
    <w:rsid w:val="00E33078"/>
    <w:rsid w:val="00E335AB"/>
    <w:rsid w:val="00E33AB6"/>
    <w:rsid w:val="00E3469E"/>
    <w:rsid w:val="00E35C31"/>
    <w:rsid w:val="00E4012C"/>
    <w:rsid w:val="00E42A8F"/>
    <w:rsid w:val="00E46E9D"/>
    <w:rsid w:val="00E50AA2"/>
    <w:rsid w:val="00E5223F"/>
    <w:rsid w:val="00E6185D"/>
    <w:rsid w:val="00E66B4F"/>
    <w:rsid w:val="00E741D5"/>
    <w:rsid w:val="00E74474"/>
    <w:rsid w:val="00E87A6A"/>
    <w:rsid w:val="00E9232A"/>
    <w:rsid w:val="00EA4D1B"/>
    <w:rsid w:val="00EB1D11"/>
    <w:rsid w:val="00EB281B"/>
    <w:rsid w:val="00EC1C50"/>
    <w:rsid w:val="00ED3D05"/>
    <w:rsid w:val="00ED5025"/>
    <w:rsid w:val="00EE21FB"/>
    <w:rsid w:val="00EE5713"/>
    <w:rsid w:val="00EE64AE"/>
    <w:rsid w:val="00EE715F"/>
    <w:rsid w:val="00F06241"/>
    <w:rsid w:val="00F06445"/>
    <w:rsid w:val="00F07114"/>
    <w:rsid w:val="00F13567"/>
    <w:rsid w:val="00F206A7"/>
    <w:rsid w:val="00F3105E"/>
    <w:rsid w:val="00F31AAB"/>
    <w:rsid w:val="00F41591"/>
    <w:rsid w:val="00F41A63"/>
    <w:rsid w:val="00F448B4"/>
    <w:rsid w:val="00F45BEB"/>
    <w:rsid w:val="00F54523"/>
    <w:rsid w:val="00F648FF"/>
    <w:rsid w:val="00F70793"/>
    <w:rsid w:val="00F84544"/>
    <w:rsid w:val="00F90552"/>
    <w:rsid w:val="00F908B7"/>
    <w:rsid w:val="00F954FA"/>
    <w:rsid w:val="00F95B1F"/>
    <w:rsid w:val="00F96EB7"/>
    <w:rsid w:val="00FA05B2"/>
    <w:rsid w:val="00FA0889"/>
    <w:rsid w:val="00FA1E17"/>
    <w:rsid w:val="00FA68A7"/>
    <w:rsid w:val="00FC0C51"/>
    <w:rsid w:val="00FC3903"/>
    <w:rsid w:val="00FC6848"/>
    <w:rsid w:val="00FE1B88"/>
    <w:rsid w:val="00FF29FD"/>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figures" w:uiPriority="99"/>
    <w:lsdException w:name="Title" w:semiHidden="0" w:unhideWhenUsed="0" w:qFormat="1"/>
    <w:lsdException w:name="Default Paragraph Font" w:uiPriority="1"/>
    <w:lsdException w:name="Hyperlink" w:uiPriority="99" w:qFormat="1"/>
    <w:lsdException w:name="No List" w:uiPriority="99"/>
    <w:lsdException w:name="Table Grid" w:semiHidden="0" w:uiPriority="9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basedOn w:val="Normal"/>
    <w:uiPriority w:val="34"/>
    <w:qFormat/>
    <w:rsid w:val="00984AA8"/>
    <w:pPr>
      <w:numPr>
        <w:numId w:val="25"/>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9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figures" w:uiPriority="99"/>
    <w:lsdException w:name="Title" w:semiHidden="0" w:unhideWhenUsed="0" w:qFormat="1"/>
    <w:lsdException w:name="Default Paragraph Font" w:uiPriority="1"/>
    <w:lsdException w:name="Hyperlink" w:uiPriority="99" w:qFormat="1"/>
    <w:lsdException w:name="No List" w:uiPriority="99"/>
    <w:lsdException w:name="Table Grid" w:semiHidden="0" w:uiPriority="9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basedOn w:val="Normal"/>
    <w:uiPriority w:val="34"/>
    <w:qFormat/>
    <w:rsid w:val="00984AA8"/>
    <w:pPr>
      <w:numPr>
        <w:numId w:val="25"/>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9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education.gov.uk/contact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witter.com/educationgov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si@nationalarchives.gsi.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tionalarchives.gov.uk/doc/open-government-licence/version/3/"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30HrsDelivery.SupportFund@education.gov.uk" TargetMode="External"/><Relationship Id="rId23" Type="http://schemas.openxmlformats.org/officeDocument/2006/relationships/hyperlink" Target="http://www.facebook.com/educationgovuk" TargetMode="External"/><Relationship Id="rId10" Type="http://schemas.openxmlformats.org/officeDocument/2006/relationships/webSettings" Target="webSettings.xml"/><Relationship Id="rId19" Type="http://schemas.openxmlformats.org/officeDocument/2006/relationships/hyperlink" Target="http://www.gov.uk/government/public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0HrsDelivery.SupportFund@education.gov.uk" TargetMode="Externa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30-hours-free-childcare-early-implementation-evaluation" TargetMode="External"/><Relationship Id="rId1" Type="http://schemas.openxmlformats.org/officeDocument/2006/relationships/hyperlink" Target="https://www.gov.uk/government/publications/early-rollout-of-30-hours-free-childcare-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C94A269E-23A8-4FF3-8677-42A4E931E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3003ECD8-A5EB-4CDF-BD2E-64915023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Department for Education</Company>
  <LinksUpToDate>false</LinksUpToDate>
  <CharactersWithSpaces>21025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MS Exchange Admin</cp:lastModifiedBy>
  <cp:revision>2</cp:revision>
  <cp:lastPrinted>2017-11-17T12:01:00Z</cp:lastPrinted>
  <dcterms:created xsi:type="dcterms:W3CDTF">2017-11-23T08:16:00Z</dcterms:created>
  <dcterms:modified xsi:type="dcterms:W3CDTF">2017-11-23T08:16:00Z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