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D212" w14:textId="0AE105E3" w:rsidR="002374EE" w:rsidRPr="005E1580" w:rsidRDefault="00903CDE" w:rsidP="00BA5D79">
      <w:pPr>
        <w:jc w:val="center"/>
        <w:rPr>
          <w:rFonts w:cstheme="minorHAnsi"/>
          <w:b/>
          <w:bCs/>
          <w:u w:val="single"/>
        </w:rPr>
      </w:pPr>
      <w:r w:rsidRPr="005E1580">
        <w:rPr>
          <w:rFonts w:cstheme="minorHAnsi"/>
          <w:b/>
          <w:bCs/>
          <w:noProof/>
          <w:u w:val="single"/>
          <w:lang w:eastAsia="en-GB"/>
        </w:rPr>
        <mc:AlternateContent>
          <mc:Choice Requires="wps">
            <w:drawing>
              <wp:anchor distT="0" distB="0" distL="114300" distR="114300" simplePos="0" relativeHeight="251659264" behindDoc="0" locked="0" layoutInCell="1" allowOverlap="1" wp14:anchorId="36326E46" wp14:editId="4D01479B">
                <wp:simplePos x="0" y="0"/>
                <wp:positionH relativeFrom="column">
                  <wp:posOffset>-333375</wp:posOffset>
                </wp:positionH>
                <wp:positionV relativeFrom="paragraph">
                  <wp:posOffset>286385</wp:posOffset>
                </wp:positionV>
                <wp:extent cx="7105650" cy="10077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105650" cy="10077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F483" id="Rectangle 2" o:spid="_x0000_s1026" style="position:absolute;margin-left:-26.25pt;margin-top:22.55pt;width:559.5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" filled="f" strokecolor="#243f60 [1604]" strokeweight="2pt"/>
            </w:pict>
          </mc:Fallback>
        </mc:AlternateContent>
      </w:r>
      <w:r w:rsidR="00211E34" w:rsidRPr="005E1580">
        <w:rPr>
          <w:rFonts w:cstheme="minorHAnsi"/>
          <w:b/>
          <w:bCs/>
          <w:u w:val="single"/>
        </w:rPr>
        <w:t>Solihull Local Authority Records Retention Guidance</w:t>
      </w:r>
    </w:p>
    <w:p w14:paraId="646E7D38" w14:textId="2506A47D" w:rsidR="001B7787" w:rsidRPr="00903CDE" w:rsidRDefault="00001F75" w:rsidP="00903CDE">
      <w:pPr>
        <w:spacing w:after="0" w:line="240" w:lineRule="auto"/>
        <w:jc w:val="both"/>
        <w:rPr>
          <w:rFonts w:cstheme="minorHAnsi"/>
          <w:b/>
        </w:rPr>
      </w:pPr>
      <w:hyperlink r:id="rId6" w:history="1">
        <w:r w:rsidR="00CF54EA" w:rsidRPr="00903CDE">
          <w:rPr>
            <w:rStyle w:val="Hyperlink"/>
            <w:rFonts w:cstheme="minorHAnsi"/>
          </w:rPr>
          <w:t xml:space="preserve">Statutory framework for the early </w:t>
        </w:r>
        <w:proofErr w:type="gramStart"/>
        <w:r w:rsidR="00CF54EA" w:rsidRPr="00903CDE">
          <w:rPr>
            <w:rStyle w:val="Hyperlink"/>
            <w:rFonts w:cstheme="minorHAnsi"/>
          </w:rPr>
          <w:t>years</w:t>
        </w:r>
        <w:proofErr w:type="gramEnd"/>
        <w:r w:rsidR="00CF54EA" w:rsidRPr="00903CDE">
          <w:rPr>
            <w:rStyle w:val="Hyperlink"/>
            <w:rFonts w:cstheme="minorHAnsi"/>
          </w:rPr>
          <w:t xml:space="preserve"> foundation stage</w:t>
        </w:r>
      </w:hyperlink>
      <w:r w:rsidR="00CF54EA" w:rsidRPr="00903CDE">
        <w:rPr>
          <w:rFonts w:cstheme="minorHAnsi"/>
        </w:rPr>
        <w:t>: Setting the standards for learning, development and</w:t>
      </w:r>
      <w:r w:rsidR="00CF54EA" w:rsidRPr="00903CDE">
        <w:rPr>
          <w:rFonts w:cstheme="minorHAnsi"/>
          <w:b/>
        </w:rPr>
        <w:t xml:space="preserve"> </w:t>
      </w:r>
      <w:r w:rsidR="00CF54EA" w:rsidRPr="00903CDE">
        <w:rPr>
          <w:rFonts w:cstheme="minorHAnsi"/>
          <w:bCs/>
        </w:rPr>
        <w:t xml:space="preserve">care for children from birth to </w:t>
      </w:r>
      <w:r w:rsidR="001B7787" w:rsidRPr="00903CDE">
        <w:rPr>
          <w:rFonts w:cstheme="minorHAnsi"/>
          <w:bCs/>
        </w:rPr>
        <w:t>five. Published</w:t>
      </w:r>
      <w:r w:rsidR="00CF54EA" w:rsidRPr="00903CDE">
        <w:rPr>
          <w:rFonts w:cstheme="minorHAnsi"/>
          <w:bCs/>
        </w:rPr>
        <w:t>: 3</w:t>
      </w:r>
      <w:r w:rsidR="001B7787" w:rsidRPr="00903CDE">
        <w:rPr>
          <w:rFonts w:cstheme="minorHAnsi"/>
          <w:bCs/>
        </w:rPr>
        <w:t>1</w:t>
      </w:r>
      <w:r w:rsidR="001B7787" w:rsidRPr="00903CDE">
        <w:rPr>
          <w:rFonts w:cstheme="minorHAnsi"/>
          <w:bCs/>
          <w:vertAlign w:val="superscript"/>
        </w:rPr>
        <w:t>st</w:t>
      </w:r>
      <w:r w:rsidR="00CF54EA" w:rsidRPr="00903CDE">
        <w:rPr>
          <w:rFonts w:cstheme="minorHAnsi"/>
          <w:bCs/>
        </w:rPr>
        <w:t xml:space="preserve"> March 20</w:t>
      </w:r>
      <w:r w:rsidR="001B7787" w:rsidRPr="00903CDE">
        <w:rPr>
          <w:rFonts w:cstheme="minorHAnsi"/>
          <w:bCs/>
        </w:rPr>
        <w:t>21</w:t>
      </w:r>
      <w:r w:rsidR="00CF54EA" w:rsidRPr="00903CDE">
        <w:rPr>
          <w:rFonts w:cstheme="minorHAnsi"/>
          <w:bCs/>
        </w:rPr>
        <w:t xml:space="preserve">. Effective: </w:t>
      </w:r>
      <w:r w:rsidR="001B7787" w:rsidRPr="00903CDE">
        <w:rPr>
          <w:rFonts w:cstheme="minorHAnsi"/>
          <w:bCs/>
        </w:rPr>
        <w:t>1</w:t>
      </w:r>
      <w:r w:rsidR="001B7787" w:rsidRPr="00903CDE">
        <w:rPr>
          <w:rFonts w:cstheme="minorHAnsi"/>
          <w:bCs/>
          <w:vertAlign w:val="superscript"/>
        </w:rPr>
        <w:t>st</w:t>
      </w:r>
      <w:r w:rsidR="001B7787" w:rsidRPr="00903CDE">
        <w:rPr>
          <w:rFonts w:cstheme="minorHAnsi"/>
          <w:bCs/>
        </w:rPr>
        <w:t xml:space="preserve"> September 2021</w:t>
      </w:r>
    </w:p>
    <w:p w14:paraId="744C2A12" w14:textId="77777777" w:rsidR="00903CDE" w:rsidRDefault="00903CDE" w:rsidP="00903CDE">
      <w:pPr>
        <w:spacing w:after="0" w:line="240" w:lineRule="auto"/>
        <w:jc w:val="both"/>
        <w:rPr>
          <w:b/>
          <w:bCs/>
          <w:u w:val="single"/>
        </w:rPr>
      </w:pPr>
    </w:p>
    <w:p w14:paraId="320E5750" w14:textId="24CCC383" w:rsidR="00001BA4" w:rsidRDefault="00001BA4" w:rsidP="00903CDE">
      <w:pPr>
        <w:spacing w:after="0" w:line="240" w:lineRule="auto"/>
        <w:jc w:val="both"/>
        <w:rPr>
          <w:b/>
          <w:bCs/>
          <w:u w:val="single"/>
        </w:rPr>
      </w:pPr>
      <w:r w:rsidRPr="00001BA4">
        <w:rPr>
          <w:b/>
          <w:bCs/>
          <w:u w:val="single"/>
        </w:rPr>
        <w:t xml:space="preserve">Information and records </w:t>
      </w:r>
    </w:p>
    <w:p w14:paraId="5E7531C2" w14:textId="77777777" w:rsidR="00903CDE" w:rsidRPr="00001BA4" w:rsidRDefault="00903CDE" w:rsidP="00903CDE">
      <w:pPr>
        <w:spacing w:after="0" w:line="240" w:lineRule="auto"/>
        <w:jc w:val="both"/>
        <w:rPr>
          <w:b/>
          <w:bCs/>
          <w:u w:val="single"/>
        </w:rPr>
      </w:pPr>
    </w:p>
    <w:p w14:paraId="785B3CD7" w14:textId="77777777" w:rsidR="00001BA4" w:rsidRDefault="00001BA4" w:rsidP="00903CDE">
      <w:pPr>
        <w:spacing w:after="0" w:line="240" w:lineRule="auto"/>
        <w:jc w:val="both"/>
      </w:pPr>
      <w:r>
        <w:t>3.69. Providers must maintain records and obtain and share information (with parents and carers, other professionals working with the child, the police, social services and Ofsted or the childminder agency with which they are registered, as appropriate) to ensure the safe and efficient management of the setting, and to help ensure the needs of all children are met</w:t>
      </w:r>
      <w:r w:rsidRPr="00001BA4">
        <w:rPr>
          <w:sz w:val="16"/>
          <w:szCs w:val="16"/>
        </w:rPr>
        <w:t>65</w:t>
      </w:r>
      <w:r>
        <w:t xml:space="preserve">. Providers must enable a regular two-way flow of information with parents and/or carers, and between providers, if a child is attending more than one setting. If requested, providers should incorporate parents’ and/or carers’ comments into children’s records. </w:t>
      </w:r>
    </w:p>
    <w:p w14:paraId="426C4D93" w14:textId="77777777" w:rsidR="00903CDE" w:rsidRDefault="00001BA4" w:rsidP="00903CDE">
      <w:pPr>
        <w:spacing w:after="0" w:line="240" w:lineRule="auto"/>
        <w:jc w:val="both"/>
      </w:pPr>
      <w:r>
        <w:t>3.70. Records must be easily accessible and available (these may be kept securely off the premises). Confidential information and records about staff and children must be held securely and only accessible and available to those who have a right or professional need to see them</w:t>
      </w:r>
      <w:r w:rsidRPr="00903CDE">
        <w:rPr>
          <w:sz w:val="16"/>
          <w:szCs w:val="16"/>
        </w:rPr>
        <w:t>66</w:t>
      </w:r>
      <w:r>
        <w:t>. Providers must be aware of their responsibilities under the Data Protection Legislation</w:t>
      </w:r>
      <w:r w:rsidRPr="00001BA4">
        <w:rPr>
          <w:sz w:val="16"/>
          <w:szCs w:val="16"/>
        </w:rPr>
        <w:t>67</w:t>
      </w:r>
      <w:r>
        <w:t xml:space="preserve"> and where relevant the Freedom of Information Act 2000. </w:t>
      </w:r>
    </w:p>
    <w:p w14:paraId="4CD01E62" w14:textId="4FE8D97E" w:rsidR="00001BA4" w:rsidRDefault="00001BA4" w:rsidP="00903CDE">
      <w:pPr>
        <w:spacing w:after="0" w:line="240" w:lineRule="auto"/>
        <w:jc w:val="both"/>
      </w:pPr>
      <w:r>
        <w:t>3.71.</w:t>
      </w:r>
      <w:r w:rsidR="00903CDE">
        <w:t xml:space="preserve"> </w:t>
      </w:r>
      <w:r>
        <w:t>Providers must ensure that all staff understand the need to protect the privacy of the children in their care as well the legal requirements that exist to ensure that information relating to the child is handled in a way that ensures confidentiality. Parents and/or carers must be given access to all records about their child, provided that no relevant exemptions apply to their disclosure under the Data Protection Act</w:t>
      </w:r>
      <w:r w:rsidRPr="00001BA4">
        <w:rPr>
          <w:sz w:val="16"/>
          <w:szCs w:val="16"/>
        </w:rPr>
        <w:t>68</w:t>
      </w:r>
      <w:r>
        <w:t xml:space="preserve">. </w:t>
      </w:r>
    </w:p>
    <w:p w14:paraId="1858EB6B" w14:textId="5102D005" w:rsidR="00903CDE" w:rsidRDefault="00001BA4" w:rsidP="00903CDE">
      <w:pPr>
        <w:spacing w:after="0" w:line="240" w:lineRule="auto"/>
        <w:jc w:val="both"/>
      </w:pPr>
      <w:r>
        <w:t>3.72.</w:t>
      </w:r>
      <w:r w:rsidR="00903CDE">
        <w:t xml:space="preserve"> </w:t>
      </w:r>
      <w:r>
        <w:t xml:space="preserve">Records relating to individual children must be retained for a reasonable </w:t>
      </w:r>
      <w:proofErr w:type="gramStart"/>
      <w:r>
        <w:t>period of time</w:t>
      </w:r>
      <w:proofErr w:type="gramEnd"/>
      <w:r>
        <w:t xml:space="preserve"> after they have left the provision </w:t>
      </w:r>
      <w:r w:rsidRPr="00903CDE">
        <w:rPr>
          <w:sz w:val="16"/>
          <w:szCs w:val="16"/>
        </w:rPr>
        <w:t>69</w:t>
      </w:r>
      <w:r>
        <w:t xml:space="preserve">. </w:t>
      </w:r>
    </w:p>
    <w:p w14:paraId="73F322E9" w14:textId="77777777" w:rsidR="00903CDE" w:rsidRDefault="00903CDE" w:rsidP="00903CDE">
      <w:pPr>
        <w:spacing w:after="0" w:line="240" w:lineRule="auto"/>
        <w:jc w:val="both"/>
      </w:pPr>
    </w:p>
    <w:p w14:paraId="7858CCC8" w14:textId="518F2F57" w:rsidR="00903CDE" w:rsidRDefault="00001BA4" w:rsidP="00903CDE">
      <w:pPr>
        <w:spacing w:after="0" w:line="240" w:lineRule="auto"/>
        <w:jc w:val="both"/>
        <w:rPr>
          <w:b/>
          <w:bCs/>
          <w:u w:val="single"/>
        </w:rPr>
      </w:pPr>
      <w:r w:rsidRPr="00903CDE">
        <w:rPr>
          <w:b/>
          <w:bCs/>
          <w:u w:val="single"/>
        </w:rPr>
        <w:t xml:space="preserve">Information about the child </w:t>
      </w:r>
    </w:p>
    <w:p w14:paraId="7D180F9E" w14:textId="77777777" w:rsidR="00903CDE" w:rsidRPr="00903CDE" w:rsidRDefault="00903CDE" w:rsidP="00903CDE">
      <w:pPr>
        <w:spacing w:after="0" w:line="240" w:lineRule="auto"/>
        <w:jc w:val="both"/>
        <w:rPr>
          <w:b/>
          <w:bCs/>
          <w:u w:val="single"/>
        </w:rPr>
      </w:pPr>
    </w:p>
    <w:p w14:paraId="500CF627" w14:textId="3C3CD10F" w:rsidR="00903CDE" w:rsidRDefault="00001BA4" w:rsidP="00903CDE">
      <w:pPr>
        <w:spacing w:after="0" w:line="240" w:lineRule="auto"/>
        <w:jc w:val="both"/>
      </w:pPr>
      <w:r>
        <w:t>3.</w:t>
      </w:r>
      <w:proofErr w:type="gramStart"/>
      <w:r>
        <w:t>73.Providers</w:t>
      </w:r>
      <w:proofErr w:type="gramEnd"/>
      <w:r>
        <w:t xml:space="preserve"> must record the following information for each child in their care: full name; date of birth; name and address of every parent and/or carer who is known to the provider (and information about any other person who has parental </w:t>
      </w:r>
      <w:r w:rsidR="00903CDE">
        <w:t>responsibility for the child); which parent(s) and/or carer(s) the child normally lives with; and emergency contact details for parents and/or carers.</w:t>
      </w:r>
    </w:p>
    <w:p w14:paraId="042D113B" w14:textId="77777777" w:rsidR="00903CDE" w:rsidRDefault="00903CDE" w:rsidP="00903CDE">
      <w:pPr>
        <w:spacing w:after="0" w:line="240" w:lineRule="auto"/>
        <w:jc w:val="both"/>
      </w:pPr>
    </w:p>
    <w:p w14:paraId="7C0DE17D" w14:textId="480E0F77" w:rsidR="00903CDE" w:rsidRPr="00903CDE" w:rsidRDefault="00001BA4" w:rsidP="00903CDE">
      <w:pPr>
        <w:spacing w:after="0" w:line="240" w:lineRule="auto"/>
        <w:jc w:val="both"/>
        <w:rPr>
          <w:i/>
          <w:iCs/>
          <w:sz w:val="20"/>
          <w:szCs w:val="20"/>
        </w:rPr>
      </w:pPr>
      <w:r w:rsidRPr="00903CDE">
        <w:rPr>
          <w:b/>
          <w:bCs/>
          <w:i/>
          <w:iCs/>
          <w:sz w:val="20"/>
          <w:szCs w:val="20"/>
        </w:rPr>
        <w:t>65</w:t>
      </w:r>
      <w:r w:rsidRPr="00903CDE">
        <w:rPr>
          <w:i/>
          <w:iCs/>
          <w:sz w:val="20"/>
          <w:szCs w:val="20"/>
        </w:rPr>
        <w:t xml:space="preserve"> Guidance on sharing information with relevant services when there are safeguarding concerns is available via: </w:t>
      </w:r>
      <w:hyperlink r:id="rId7" w:history="1">
        <w:r w:rsidR="00903CDE" w:rsidRPr="00903CDE">
          <w:rPr>
            <w:rStyle w:val="Hyperlink"/>
            <w:i/>
            <w:iCs/>
            <w:sz w:val="20"/>
            <w:szCs w:val="20"/>
          </w:rPr>
          <w:t>https://www.gov.uk/government/publications/safeguarding-practitioners-informationsharing-advice</w:t>
        </w:r>
      </w:hyperlink>
      <w:r w:rsidRPr="00903CDE">
        <w:rPr>
          <w:i/>
          <w:iCs/>
          <w:sz w:val="20"/>
          <w:szCs w:val="20"/>
        </w:rPr>
        <w:t xml:space="preserve"> </w:t>
      </w:r>
    </w:p>
    <w:p w14:paraId="2FC6F762" w14:textId="4DE24214" w:rsidR="00903CDE" w:rsidRPr="00903CDE" w:rsidRDefault="00001BA4" w:rsidP="00903CDE">
      <w:pPr>
        <w:spacing w:after="0" w:line="240" w:lineRule="auto"/>
        <w:jc w:val="both"/>
        <w:rPr>
          <w:i/>
          <w:iCs/>
          <w:sz w:val="20"/>
          <w:szCs w:val="20"/>
        </w:rPr>
      </w:pPr>
      <w:r w:rsidRPr="00903CDE">
        <w:rPr>
          <w:b/>
          <w:bCs/>
          <w:i/>
          <w:iCs/>
          <w:sz w:val="20"/>
          <w:szCs w:val="20"/>
        </w:rPr>
        <w:t>66</w:t>
      </w:r>
      <w:r w:rsidRPr="00903CDE">
        <w:rPr>
          <w:i/>
          <w:iCs/>
          <w:sz w:val="20"/>
          <w:szCs w:val="20"/>
        </w:rPr>
        <w:t xml:space="preserve"> The National Cyber Security Centre (NCSC) has published helpful guidance on cyber security: </w:t>
      </w:r>
      <w:hyperlink r:id="rId8" w:history="1">
        <w:r w:rsidR="00903CDE" w:rsidRPr="00903CDE">
          <w:rPr>
            <w:rStyle w:val="Hyperlink"/>
            <w:i/>
            <w:iCs/>
            <w:sz w:val="20"/>
            <w:szCs w:val="20"/>
          </w:rPr>
          <w:t>https://www.ncsc.gov.uk/guidance/early-years-practitioners-using-cyber-security-to-protect-your-settings</w:t>
        </w:r>
      </w:hyperlink>
      <w:r w:rsidRPr="00903CDE">
        <w:rPr>
          <w:i/>
          <w:iCs/>
          <w:sz w:val="20"/>
          <w:szCs w:val="20"/>
        </w:rPr>
        <w:t xml:space="preserve"> </w:t>
      </w:r>
    </w:p>
    <w:p w14:paraId="3C310BA3" w14:textId="583073B0" w:rsidR="00903CDE" w:rsidRPr="00903CDE" w:rsidRDefault="00001BA4" w:rsidP="00903CDE">
      <w:pPr>
        <w:spacing w:after="0" w:line="240" w:lineRule="auto"/>
        <w:jc w:val="both"/>
        <w:rPr>
          <w:i/>
          <w:iCs/>
          <w:sz w:val="20"/>
          <w:szCs w:val="20"/>
        </w:rPr>
      </w:pPr>
      <w:r w:rsidRPr="00903CDE">
        <w:rPr>
          <w:b/>
          <w:bCs/>
          <w:i/>
          <w:iCs/>
          <w:sz w:val="20"/>
          <w:szCs w:val="20"/>
        </w:rPr>
        <w:t>67</w:t>
      </w:r>
      <w:r w:rsidRPr="00903CDE">
        <w:rPr>
          <w:i/>
          <w:iCs/>
          <w:sz w:val="20"/>
          <w:szCs w:val="20"/>
        </w:rPr>
        <w:t xml:space="preserve"> This includes the Data Protection Act 2018 and General Data Protection Regulation 2018 see: </w:t>
      </w:r>
      <w:hyperlink r:id="rId9" w:history="1">
        <w:r w:rsidR="00903CDE" w:rsidRPr="00903CDE">
          <w:rPr>
            <w:rStyle w:val="Hyperlink"/>
            <w:i/>
            <w:iCs/>
            <w:sz w:val="20"/>
            <w:szCs w:val="20"/>
          </w:rPr>
          <w:t>https://www.gov.uk/government/publications/guide-to-the-general-data-protection-regulation</w:t>
        </w:r>
      </w:hyperlink>
      <w:r w:rsidRPr="00903CDE">
        <w:rPr>
          <w:i/>
          <w:iCs/>
          <w:sz w:val="20"/>
          <w:szCs w:val="20"/>
        </w:rPr>
        <w:t xml:space="preserve">. </w:t>
      </w:r>
    </w:p>
    <w:p w14:paraId="55951D29" w14:textId="3CEF1CCF" w:rsidR="00903CDE" w:rsidRPr="00903CDE" w:rsidRDefault="00001BA4" w:rsidP="00903CDE">
      <w:pPr>
        <w:spacing w:after="0" w:line="240" w:lineRule="auto"/>
        <w:jc w:val="both"/>
        <w:rPr>
          <w:i/>
          <w:iCs/>
          <w:sz w:val="20"/>
          <w:szCs w:val="20"/>
        </w:rPr>
      </w:pPr>
      <w:r w:rsidRPr="00903CDE">
        <w:rPr>
          <w:b/>
          <w:bCs/>
          <w:i/>
          <w:iCs/>
          <w:sz w:val="20"/>
          <w:szCs w:val="20"/>
        </w:rPr>
        <w:t xml:space="preserve">68 </w:t>
      </w:r>
      <w:r w:rsidRPr="00903CDE">
        <w:rPr>
          <w:i/>
          <w:iCs/>
          <w:sz w:val="20"/>
          <w:szCs w:val="20"/>
        </w:rPr>
        <w:t xml:space="preserve">The Data Protection Act 2018 (DPA) gives parents and carers the right to access information about their child that a provider holds. However, the DPA also sets out specific exemptions under which certain personal information may, under specific circumstances, be withheld from release. For example, a relevant professional will need to give careful consideration as to whether the disclosure of certain information about a child could cause harm either to the child or any other individual. It is therefore essential that all providers/staff in early years settings </w:t>
      </w:r>
      <w:proofErr w:type="gramStart"/>
      <w:r w:rsidRPr="00903CDE">
        <w:rPr>
          <w:i/>
          <w:iCs/>
          <w:sz w:val="20"/>
          <w:szCs w:val="20"/>
        </w:rPr>
        <w:t>have an understanding of</w:t>
      </w:r>
      <w:proofErr w:type="gramEnd"/>
      <w:r w:rsidRPr="00903CDE">
        <w:rPr>
          <w:i/>
          <w:iCs/>
          <w:sz w:val="20"/>
          <w:szCs w:val="20"/>
        </w:rPr>
        <w:t xml:space="preserve"> how data protection laws operate. Further guidance can be found on the website of the Information Commissioner’s Office at: https://ico.org.uk/for-organisations/guide-to-the-general-data-protection-regulation-gdpr/ </w:t>
      </w:r>
    </w:p>
    <w:p w14:paraId="300B8C00" w14:textId="4FFAC3AC" w:rsidR="00903CDE" w:rsidRDefault="00001BA4" w:rsidP="00903CDE">
      <w:pPr>
        <w:spacing w:after="0" w:line="240" w:lineRule="auto"/>
        <w:jc w:val="both"/>
        <w:rPr>
          <w:i/>
          <w:iCs/>
          <w:sz w:val="20"/>
          <w:szCs w:val="20"/>
        </w:rPr>
      </w:pPr>
      <w:r w:rsidRPr="00903CDE">
        <w:rPr>
          <w:b/>
          <w:bCs/>
          <w:i/>
          <w:iCs/>
          <w:sz w:val="20"/>
          <w:szCs w:val="20"/>
        </w:rPr>
        <w:t>69</w:t>
      </w:r>
      <w:r w:rsidRPr="00903CDE">
        <w:rPr>
          <w:i/>
          <w:iCs/>
          <w:sz w:val="20"/>
          <w:szCs w:val="20"/>
        </w:rPr>
        <w:t xml:space="preserve"> Individual providers should determine how long to retain records relating to individual children. </w:t>
      </w:r>
    </w:p>
    <w:p w14:paraId="62318303" w14:textId="77777777" w:rsidR="00903CDE" w:rsidRPr="00903CDE" w:rsidRDefault="00903CDE" w:rsidP="00903CDE">
      <w:pPr>
        <w:spacing w:after="0" w:line="240" w:lineRule="auto"/>
        <w:jc w:val="both"/>
        <w:rPr>
          <w:i/>
          <w:iCs/>
          <w:sz w:val="20"/>
          <w:szCs w:val="20"/>
        </w:rPr>
      </w:pPr>
    </w:p>
    <w:p w14:paraId="071C7194" w14:textId="1F1C19A2" w:rsidR="00903CDE" w:rsidRDefault="00001BA4" w:rsidP="00903CDE">
      <w:pPr>
        <w:spacing w:after="0" w:line="240" w:lineRule="auto"/>
        <w:jc w:val="both"/>
        <w:rPr>
          <w:b/>
          <w:bCs/>
          <w:u w:val="single"/>
        </w:rPr>
      </w:pPr>
      <w:r w:rsidRPr="00903CDE">
        <w:rPr>
          <w:b/>
          <w:bCs/>
          <w:u w:val="single"/>
        </w:rPr>
        <w:t xml:space="preserve">Information for parents and carers </w:t>
      </w:r>
    </w:p>
    <w:p w14:paraId="141031CC" w14:textId="77777777" w:rsidR="00903CDE" w:rsidRPr="00903CDE" w:rsidRDefault="00903CDE" w:rsidP="00903CDE">
      <w:pPr>
        <w:spacing w:after="0" w:line="240" w:lineRule="auto"/>
        <w:jc w:val="both"/>
        <w:rPr>
          <w:b/>
          <w:bCs/>
          <w:u w:val="single"/>
        </w:rPr>
      </w:pPr>
    </w:p>
    <w:p w14:paraId="425257E4" w14:textId="77777777" w:rsidR="00903CDE" w:rsidRDefault="00001BA4" w:rsidP="00903CDE">
      <w:pPr>
        <w:spacing w:after="0" w:line="240" w:lineRule="auto"/>
        <w:jc w:val="both"/>
      </w:pPr>
      <w:r>
        <w:t>3.</w:t>
      </w:r>
      <w:proofErr w:type="gramStart"/>
      <w:r>
        <w:t>74.Providers</w:t>
      </w:r>
      <w:proofErr w:type="gramEnd"/>
      <w:r>
        <w:t xml:space="preserve"> must make the following information available to parents and/or carers: </w:t>
      </w:r>
    </w:p>
    <w:p w14:paraId="3A94C1BA" w14:textId="03DDD303" w:rsidR="00903CDE" w:rsidRDefault="00001BA4" w:rsidP="00903CDE">
      <w:pPr>
        <w:pStyle w:val="ListParagraph"/>
        <w:numPr>
          <w:ilvl w:val="0"/>
          <w:numId w:val="3"/>
        </w:numPr>
        <w:spacing w:after="0" w:line="240" w:lineRule="auto"/>
        <w:jc w:val="both"/>
      </w:pPr>
      <w:r>
        <w:t xml:space="preserve">how the EYFS is being delivered in the setting, and how parents and/or carers can access more information </w:t>
      </w:r>
    </w:p>
    <w:p w14:paraId="531F5D67" w14:textId="6366B715" w:rsidR="00903CDE" w:rsidRDefault="00001BA4" w:rsidP="00903CDE">
      <w:pPr>
        <w:pStyle w:val="ListParagraph"/>
        <w:numPr>
          <w:ilvl w:val="0"/>
          <w:numId w:val="3"/>
        </w:numPr>
        <w:spacing w:after="0" w:line="240" w:lineRule="auto"/>
        <w:jc w:val="both"/>
      </w:pPr>
      <w:r>
        <w:t xml:space="preserve">the range and type of activities and experiences provided for children, the daily routines of the setting, and how parents and carers can share learning at home </w:t>
      </w:r>
    </w:p>
    <w:p w14:paraId="78F197D0" w14:textId="3E414FB3" w:rsidR="00903CDE" w:rsidRDefault="00001BA4" w:rsidP="00903CDE">
      <w:pPr>
        <w:pStyle w:val="ListParagraph"/>
        <w:numPr>
          <w:ilvl w:val="0"/>
          <w:numId w:val="3"/>
        </w:numPr>
        <w:spacing w:after="0" w:line="240" w:lineRule="auto"/>
        <w:jc w:val="both"/>
      </w:pPr>
      <w:r>
        <w:t xml:space="preserve">how the setting supports children with special educational needs and disabilities </w:t>
      </w:r>
    </w:p>
    <w:p w14:paraId="03386529" w14:textId="720CB1AB" w:rsidR="00903CDE" w:rsidRDefault="00001BA4" w:rsidP="00903CDE">
      <w:pPr>
        <w:pStyle w:val="ListParagraph"/>
        <w:numPr>
          <w:ilvl w:val="0"/>
          <w:numId w:val="3"/>
        </w:numPr>
        <w:spacing w:after="0" w:line="240" w:lineRule="auto"/>
        <w:jc w:val="both"/>
      </w:pPr>
      <w:r>
        <w:t xml:space="preserve">food and drinks provided for children </w:t>
      </w:r>
    </w:p>
    <w:p w14:paraId="43BBDD97" w14:textId="590C1EA8" w:rsidR="00903CDE" w:rsidRDefault="00001BA4" w:rsidP="00903CDE">
      <w:pPr>
        <w:pStyle w:val="ListParagraph"/>
        <w:numPr>
          <w:ilvl w:val="0"/>
          <w:numId w:val="3"/>
        </w:numPr>
        <w:spacing w:after="0" w:line="240" w:lineRule="auto"/>
        <w:jc w:val="both"/>
      </w:pPr>
      <w:r>
        <w:t xml:space="preserve">details of the provider's policies and procedures (all providers except childminders (see paragraph 3.3) must make copies available on request) including the procedure to be followed in the event of a parent and/or carer failing to collect a child at the appointed time, or in the event of a child going missing at, or away from, the setting </w:t>
      </w:r>
    </w:p>
    <w:p w14:paraId="72E1D330" w14:textId="1AB66A2A" w:rsidR="00903CDE" w:rsidRPr="00903CDE" w:rsidRDefault="00001BA4" w:rsidP="00903CDE">
      <w:pPr>
        <w:pStyle w:val="ListParagraph"/>
        <w:numPr>
          <w:ilvl w:val="0"/>
          <w:numId w:val="3"/>
        </w:numPr>
        <w:spacing w:after="0" w:line="240" w:lineRule="auto"/>
        <w:jc w:val="both"/>
        <w:rPr>
          <w:b/>
          <w:bCs/>
          <w:sz w:val="24"/>
          <w:szCs w:val="24"/>
          <w:u w:val="single"/>
        </w:rPr>
      </w:pPr>
      <w:r>
        <w:t>staffing in the setting; the name of their child’s key person and their role; and a telephone number for parents and/or carers to contact in an emergency</w:t>
      </w:r>
    </w:p>
    <w:p w14:paraId="63137BDD" w14:textId="77777777" w:rsidR="00903CDE" w:rsidRPr="00CC494F" w:rsidRDefault="00903CDE" w:rsidP="00CC494F">
      <w:pPr>
        <w:spacing w:after="0" w:line="240" w:lineRule="auto"/>
        <w:ind w:left="360"/>
        <w:jc w:val="both"/>
        <w:rPr>
          <w:b/>
          <w:bCs/>
          <w:sz w:val="24"/>
          <w:szCs w:val="24"/>
          <w:u w:val="single"/>
        </w:rPr>
      </w:pPr>
    </w:p>
    <w:p w14:paraId="60782B6C" w14:textId="5BEAFE5E" w:rsidR="00903CDE" w:rsidRPr="00903CDE" w:rsidRDefault="00903CDE" w:rsidP="00903CDE">
      <w:pPr>
        <w:spacing w:after="0" w:line="240" w:lineRule="auto"/>
        <w:jc w:val="both"/>
        <w:rPr>
          <w:i/>
          <w:iCs/>
          <w:sz w:val="20"/>
          <w:szCs w:val="20"/>
        </w:rPr>
      </w:pPr>
      <w:r w:rsidRPr="00903CDE">
        <w:rPr>
          <w:i/>
          <w:iCs/>
          <w:sz w:val="20"/>
          <w:szCs w:val="20"/>
        </w:rPr>
        <w:t>Updated November 2022</w:t>
      </w:r>
    </w:p>
    <w:p w14:paraId="1FB8023E" w14:textId="28542063" w:rsidR="006C7660" w:rsidRPr="00903CDE" w:rsidRDefault="00CF54EA" w:rsidP="00001BA4">
      <w:pPr>
        <w:jc w:val="center"/>
        <w:rPr>
          <w:rFonts w:cstheme="minorHAnsi"/>
          <w:b/>
          <w:bCs/>
          <w:u w:val="single"/>
        </w:rPr>
      </w:pPr>
      <w:r w:rsidRPr="00903CDE">
        <w:rPr>
          <w:rFonts w:cstheme="minorHAnsi"/>
          <w:b/>
          <w:bCs/>
          <w:u w:val="single"/>
        </w:rPr>
        <w:lastRenderedPageBreak/>
        <w:t>Local Authority Guidance</w:t>
      </w:r>
    </w:p>
    <w:p w14:paraId="3688326D" w14:textId="398D06FD" w:rsidR="00FC27EA" w:rsidRPr="00903CDE" w:rsidRDefault="00FC27EA" w:rsidP="00211E34">
      <w:pPr>
        <w:rPr>
          <w:rFonts w:cstheme="minorHAnsi"/>
        </w:rPr>
      </w:pPr>
      <w:r w:rsidRPr="00903CDE">
        <w:rPr>
          <w:rFonts w:cstheme="minorHAnsi"/>
        </w:rPr>
        <w:t xml:space="preserve">A retention schedule documents the length of time for which records needs to be retained and the action that should be taken when records reach the end of the retention period. Where records are to be </w:t>
      </w:r>
      <w:r w:rsidR="00FD2D18" w:rsidRPr="00903CDE">
        <w:rPr>
          <w:rFonts w:cstheme="minorHAnsi"/>
        </w:rPr>
        <w:t>destroyed,</w:t>
      </w:r>
      <w:r w:rsidRPr="00903CDE">
        <w:rPr>
          <w:rFonts w:cstheme="minorHAnsi"/>
        </w:rPr>
        <w:t xml:space="preserve"> they should be disposed of in an appropriate way. All records containing personal sensitive information should be shredded, </w:t>
      </w:r>
      <w:proofErr w:type="gramStart"/>
      <w:r w:rsidRPr="00903CDE">
        <w:rPr>
          <w:rFonts w:cstheme="minorHAnsi"/>
        </w:rPr>
        <w:t>pulped</w:t>
      </w:r>
      <w:proofErr w:type="gramEnd"/>
      <w:r w:rsidRPr="00903CDE">
        <w:rPr>
          <w:rFonts w:cstheme="minorHAnsi"/>
        </w:rPr>
        <w:t xml:space="preserve"> or deleted to ensure they are </w:t>
      </w:r>
      <w:r w:rsidR="00FD2D18" w:rsidRPr="00903CDE">
        <w:rPr>
          <w:rFonts w:cstheme="minorHAnsi"/>
        </w:rPr>
        <w:t>destroyed,</w:t>
      </w:r>
      <w:r w:rsidRPr="00903CDE">
        <w:rPr>
          <w:rFonts w:cstheme="minorHAnsi"/>
        </w:rPr>
        <w:t xml:space="preserve"> and information cannot be retrieved.</w:t>
      </w:r>
    </w:p>
    <w:p w14:paraId="220348E1" w14:textId="77777777" w:rsidR="00BA0227" w:rsidRPr="00903CDE" w:rsidRDefault="00BA0227" w:rsidP="00816554">
      <w:pPr>
        <w:shd w:val="clear" w:color="auto" w:fill="F2F2F2" w:themeFill="background1" w:themeFillShade="F2"/>
        <w:rPr>
          <w:rFonts w:cstheme="minorHAnsi"/>
        </w:rPr>
      </w:pPr>
      <w:r w:rsidRPr="00903CDE">
        <w:rPr>
          <w:rFonts w:cstheme="minorHAnsi"/>
        </w:rPr>
        <w:t>The following table contains local authority suggestions for guidance. Settings can choose whether to use this suggested guidance or make decisions based on an alternative source of information. Professional organisations offer guidance and often policy guides.</w:t>
      </w:r>
      <w:r w:rsidR="00AA0EC3" w:rsidRPr="00903CDE">
        <w:rPr>
          <w:rFonts w:cstheme="minorHAnsi"/>
        </w:rPr>
        <w:t xml:space="preserve"> </w:t>
      </w:r>
    </w:p>
    <w:tbl>
      <w:tblPr>
        <w:tblStyle w:val="TableGrid"/>
        <w:tblW w:w="10740" w:type="dxa"/>
        <w:tblLook w:val="04A0" w:firstRow="1" w:lastRow="0" w:firstColumn="1" w:lastColumn="0" w:noHBand="0" w:noVBand="1"/>
      </w:tblPr>
      <w:tblGrid>
        <w:gridCol w:w="3681"/>
        <w:gridCol w:w="3515"/>
        <w:gridCol w:w="3544"/>
      </w:tblGrid>
      <w:tr w:rsidR="00CF54EA" w:rsidRPr="00903CDE" w14:paraId="6B327696" w14:textId="77777777" w:rsidTr="00903CDE">
        <w:tc>
          <w:tcPr>
            <w:tcW w:w="3681" w:type="dxa"/>
            <w:shd w:val="clear" w:color="auto" w:fill="F2F2F2" w:themeFill="background1" w:themeFillShade="F2"/>
          </w:tcPr>
          <w:p w14:paraId="730FABF0" w14:textId="77777777" w:rsidR="00CF54EA" w:rsidRPr="00903CDE" w:rsidRDefault="00CF54EA" w:rsidP="00816554">
            <w:pPr>
              <w:shd w:val="clear" w:color="auto" w:fill="F2F2F2" w:themeFill="background1" w:themeFillShade="F2"/>
              <w:rPr>
                <w:rFonts w:cstheme="minorHAnsi"/>
              </w:rPr>
            </w:pPr>
            <w:r w:rsidRPr="00903CDE">
              <w:rPr>
                <w:rFonts w:cstheme="minorHAnsi"/>
              </w:rPr>
              <w:t xml:space="preserve">Records </w:t>
            </w:r>
          </w:p>
        </w:tc>
        <w:tc>
          <w:tcPr>
            <w:tcW w:w="3515" w:type="dxa"/>
            <w:shd w:val="clear" w:color="auto" w:fill="F2F2F2" w:themeFill="background1" w:themeFillShade="F2"/>
          </w:tcPr>
          <w:p w14:paraId="3B440BFA" w14:textId="77777777" w:rsidR="00CF54EA" w:rsidRPr="00903CDE" w:rsidRDefault="00CF54EA" w:rsidP="00816554">
            <w:pPr>
              <w:shd w:val="clear" w:color="auto" w:fill="F2F2F2" w:themeFill="background1" w:themeFillShade="F2"/>
              <w:rPr>
                <w:rFonts w:cstheme="minorHAnsi"/>
              </w:rPr>
            </w:pPr>
            <w:r w:rsidRPr="00903CDE">
              <w:rPr>
                <w:rFonts w:cstheme="minorHAnsi"/>
              </w:rPr>
              <w:t>Suggested retention period</w:t>
            </w:r>
          </w:p>
        </w:tc>
        <w:tc>
          <w:tcPr>
            <w:tcW w:w="3544" w:type="dxa"/>
            <w:shd w:val="clear" w:color="auto" w:fill="F2F2F2" w:themeFill="background1" w:themeFillShade="F2"/>
          </w:tcPr>
          <w:p w14:paraId="3C8C3DFA" w14:textId="77777777" w:rsidR="00CF54EA" w:rsidRPr="00903CDE" w:rsidRDefault="00CF54EA" w:rsidP="00816554">
            <w:pPr>
              <w:shd w:val="clear" w:color="auto" w:fill="F2F2F2" w:themeFill="background1" w:themeFillShade="F2"/>
              <w:rPr>
                <w:rFonts w:cstheme="minorHAnsi"/>
              </w:rPr>
            </w:pPr>
            <w:r w:rsidRPr="00903CDE">
              <w:rPr>
                <w:rFonts w:cstheme="minorHAnsi"/>
              </w:rPr>
              <w:t>Notes:</w:t>
            </w:r>
            <w:r w:rsidR="00C73AE0" w:rsidRPr="00903CDE">
              <w:rPr>
                <w:rFonts w:cstheme="minorHAnsi"/>
              </w:rPr>
              <w:t xml:space="preserve"> unless specified this guidance is taken from The Records Management Society Guidance {Early Years Provision}</w:t>
            </w:r>
          </w:p>
        </w:tc>
      </w:tr>
      <w:tr w:rsidR="00AA0EC3" w:rsidRPr="00903CDE" w14:paraId="33A08C6F" w14:textId="77777777" w:rsidTr="00903CDE">
        <w:tc>
          <w:tcPr>
            <w:tcW w:w="3681" w:type="dxa"/>
          </w:tcPr>
          <w:p w14:paraId="09FC3F5F" w14:textId="77777777" w:rsidR="00AA0EC3" w:rsidRPr="00903CDE" w:rsidRDefault="00AA0EC3" w:rsidP="00F15231">
            <w:pPr>
              <w:rPr>
                <w:rFonts w:cstheme="minorHAnsi"/>
              </w:rPr>
            </w:pPr>
            <w:r w:rsidRPr="00903CDE">
              <w:rPr>
                <w:rFonts w:cstheme="minorHAnsi"/>
              </w:rPr>
              <w:t>Accident and injury -children</w:t>
            </w:r>
          </w:p>
        </w:tc>
        <w:tc>
          <w:tcPr>
            <w:tcW w:w="3515" w:type="dxa"/>
          </w:tcPr>
          <w:p w14:paraId="2D17E220" w14:textId="77777777" w:rsidR="00AA0EC3" w:rsidRPr="00903CDE" w:rsidRDefault="00AA0EC3" w:rsidP="00F15231">
            <w:pPr>
              <w:rPr>
                <w:rFonts w:cstheme="minorHAnsi"/>
              </w:rPr>
            </w:pPr>
            <w:r w:rsidRPr="00903CDE">
              <w:rPr>
                <w:rFonts w:cstheme="minorHAnsi"/>
              </w:rPr>
              <w:t>Until the child is 25 y/o</w:t>
            </w:r>
          </w:p>
        </w:tc>
        <w:tc>
          <w:tcPr>
            <w:tcW w:w="3544" w:type="dxa"/>
          </w:tcPr>
          <w:p w14:paraId="084AAB76" w14:textId="77777777" w:rsidR="00AA0EC3" w:rsidRPr="00903CDE" w:rsidRDefault="00AA0EC3" w:rsidP="00F15231">
            <w:pPr>
              <w:rPr>
                <w:rFonts w:cstheme="minorHAnsi"/>
              </w:rPr>
            </w:pPr>
          </w:p>
        </w:tc>
      </w:tr>
      <w:tr w:rsidR="00CF54EA" w:rsidRPr="00903CDE" w14:paraId="1A4E40B4" w14:textId="77777777" w:rsidTr="00903CDE">
        <w:tc>
          <w:tcPr>
            <w:tcW w:w="3681" w:type="dxa"/>
          </w:tcPr>
          <w:p w14:paraId="31384B80" w14:textId="77777777" w:rsidR="00CF54EA" w:rsidRPr="00903CDE" w:rsidRDefault="00CF54EA" w:rsidP="00211E34">
            <w:pPr>
              <w:rPr>
                <w:rFonts w:cstheme="minorHAnsi"/>
              </w:rPr>
            </w:pPr>
            <w:r w:rsidRPr="00903CDE">
              <w:rPr>
                <w:rFonts w:cstheme="minorHAnsi"/>
              </w:rPr>
              <w:t xml:space="preserve">Individual child </w:t>
            </w:r>
            <w:proofErr w:type="gramStart"/>
            <w:r w:rsidRPr="00903CDE">
              <w:rPr>
                <w:rFonts w:cstheme="minorHAnsi"/>
              </w:rPr>
              <w:t>records</w:t>
            </w:r>
            <w:r w:rsidR="00AA0EC3" w:rsidRPr="00903CDE">
              <w:rPr>
                <w:rFonts w:cstheme="minorHAnsi"/>
              </w:rPr>
              <w:t xml:space="preserve"> :</w:t>
            </w:r>
            <w:proofErr w:type="gramEnd"/>
            <w:r w:rsidR="00AA0EC3" w:rsidRPr="00903CDE">
              <w:rPr>
                <w:rFonts w:cstheme="minorHAnsi"/>
              </w:rPr>
              <w:t xml:space="preserve">  name, address, date of birth, etc</w:t>
            </w:r>
          </w:p>
        </w:tc>
        <w:tc>
          <w:tcPr>
            <w:tcW w:w="3515" w:type="dxa"/>
          </w:tcPr>
          <w:p w14:paraId="57B54AC9" w14:textId="77777777" w:rsidR="00CF54EA" w:rsidRPr="00903CDE" w:rsidRDefault="00601548" w:rsidP="00211E34">
            <w:pPr>
              <w:rPr>
                <w:rFonts w:cstheme="minorHAnsi"/>
              </w:rPr>
            </w:pPr>
            <w:r w:rsidRPr="00903CDE">
              <w:rPr>
                <w:rFonts w:cstheme="minorHAnsi"/>
              </w:rPr>
              <w:t>Until the child is 25 y/o</w:t>
            </w:r>
            <w:r w:rsidR="00AA0EC3" w:rsidRPr="00903CDE">
              <w:rPr>
                <w:rFonts w:cstheme="minorHAnsi"/>
              </w:rPr>
              <w:t xml:space="preserve"> where the child has special educational needs. </w:t>
            </w:r>
          </w:p>
          <w:p w14:paraId="6102E054" w14:textId="77777777" w:rsidR="00AA0EC3" w:rsidRPr="00903CDE" w:rsidRDefault="00AA0EC3" w:rsidP="00211E34">
            <w:pPr>
              <w:rPr>
                <w:rFonts w:cstheme="minorHAnsi"/>
              </w:rPr>
            </w:pPr>
            <w:r w:rsidRPr="00903CDE">
              <w:rPr>
                <w:rFonts w:cstheme="minorHAnsi"/>
              </w:rPr>
              <w:t xml:space="preserve">Records relating to individual children </w:t>
            </w:r>
            <w:r w:rsidR="00C73AE0" w:rsidRPr="00903CDE">
              <w:rPr>
                <w:rFonts w:cstheme="minorHAnsi"/>
              </w:rPr>
              <w:t xml:space="preserve">where there </w:t>
            </w:r>
            <w:proofErr w:type="gramStart"/>
            <w:r w:rsidR="00C73AE0" w:rsidRPr="00903CDE">
              <w:rPr>
                <w:rFonts w:cstheme="minorHAnsi"/>
              </w:rPr>
              <w:t>are</w:t>
            </w:r>
            <w:proofErr w:type="gramEnd"/>
            <w:r w:rsidR="00C73AE0" w:rsidRPr="00903CDE">
              <w:rPr>
                <w:rFonts w:cstheme="minorHAnsi"/>
              </w:rPr>
              <w:t xml:space="preserve"> no identified SEN </w:t>
            </w:r>
            <w:r w:rsidRPr="00903CDE">
              <w:rPr>
                <w:rFonts w:cstheme="minorHAnsi"/>
              </w:rPr>
              <w:t>should be retained for a reasonable period of time (for example three years) after the children have left the provision.</w:t>
            </w:r>
          </w:p>
          <w:p w14:paraId="4664D227" w14:textId="77777777" w:rsidR="00601548" w:rsidRPr="00903CDE" w:rsidRDefault="00601548" w:rsidP="00211E34">
            <w:pPr>
              <w:rPr>
                <w:rFonts w:cstheme="minorHAnsi"/>
              </w:rPr>
            </w:pPr>
          </w:p>
        </w:tc>
        <w:tc>
          <w:tcPr>
            <w:tcW w:w="3544" w:type="dxa"/>
          </w:tcPr>
          <w:p w14:paraId="24DF01A1" w14:textId="77777777" w:rsidR="00CF54EA" w:rsidRPr="00903CDE" w:rsidRDefault="00CF54EA" w:rsidP="00211E34">
            <w:pPr>
              <w:rPr>
                <w:rFonts w:cstheme="minorHAnsi"/>
              </w:rPr>
            </w:pPr>
            <w:r w:rsidRPr="00903CDE">
              <w:rPr>
                <w:rFonts w:cstheme="minorHAnsi"/>
              </w:rPr>
              <w:t>EYFS ‘reasonable time’</w:t>
            </w:r>
          </w:p>
        </w:tc>
      </w:tr>
      <w:tr w:rsidR="00AA0EC3" w:rsidRPr="00903CDE" w14:paraId="06799007" w14:textId="77777777" w:rsidTr="00903CDE">
        <w:tc>
          <w:tcPr>
            <w:tcW w:w="3681" w:type="dxa"/>
          </w:tcPr>
          <w:p w14:paraId="4714EA3E" w14:textId="77777777" w:rsidR="00AA0EC3" w:rsidRPr="00903CDE" w:rsidRDefault="00071350" w:rsidP="00071350">
            <w:pPr>
              <w:rPr>
                <w:rFonts w:cstheme="minorHAnsi"/>
              </w:rPr>
            </w:pPr>
            <w:r w:rsidRPr="00903CDE">
              <w:rPr>
                <w:rFonts w:cstheme="minorHAnsi"/>
              </w:rPr>
              <w:t xml:space="preserve">Interview notes for Staff Recruitment  </w:t>
            </w:r>
          </w:p>
        </w:tc>
        <w:tc>
          <w:tcPr>
            <w:tcW w:w="3515" w:type="dxa"/>
          </w:tcPr>
          <w:p w14:paraId="086B36DA" w14:textId="77777777" w:rsidR="00AA0EC3" w:rsidRPr="00903CDE" w:rsidRDefault="00AA0EC3" w:rsidP="00F15231">
            <w:pPr>
              <w:rPr>
                <w:rFonts w:cstheme="minorHAnsi"/>
              </w:rPr>
            </w:pPr>
            <w:r w:rsidRPr="00903CDE">
              <w:rPr>
                <w:rFonts w:cstheme="minorHAnsi"/>
              </w:rPr>
              <w:t xml:space="preserve">Date of interview + 6months </w:t>
            </w:r>
          </w:p>
          <w:p w14:paraId="1423F302" w14:textId="77777777" w:rsidR="00071350" w:rsidRPr="00903CDE" w:rsidRDefault="00071350" w:rsidP="00071350">
            <w:pPr>
              <w:rPr>
                <w:rFonts w:cstheme="minorHAnsi"/>
              </w:rPr>
            </w:pPr>
            <w:r w:rsidRPr="00903CDE">
              <w:rPr>
                <w:rFonts w:cstheme="minorHAnsi"/>
              </w:rPr>
              <w:t>for unsuccessful candidates. Successful candidate information should be added to their Personnel file.</w:t>
            </w:r>
          </w:p>
        </w:tc>
        <w:tc>
          <w:tcPr>
            <w:tcW w:w="3544" w:type="dxa"/>
          </w:tcPr>
          <w:p w14:paraId="422E54D7" w14:textId="77777777" w:rsidR="00AA0EC3" w:rsidRPr="00903CDE" w:rsidRDefault="00AA0EC3" w:rsidP="00F15231">
            <w:pPr>
              <w:rPr>
                <w:rFonts w:cstheme="minorHAnsi"/>
              </w:rPr>
            </w:pPr>
            <w:r w:rsidRPr="00903CDE">
              <w:rPr>
                <w:rFonts w:cstheme="minorHAnsi"/>
              </w:rPr>
              <w:t xml:space="preserve">Solihull Safer Recruitment </w:t>
            </w:r>
            <w:proofErr w:type="gramStart"/>
            <w:r w:rsidRPr="00903CDE">
              <w:rPr>
                <w:rFonts w:cstheme="minorHAnsi"/>
              </w:rPr>
              <w:t>policy</w:t>
            </w:r>
            <w:proofErr w:type="gramEnd"/>
            <w:r w:rsidRPr="00903CDE">
              <w:rPr>
                <w:rFonts w:cstheme="minorHAnsi"/>
              </w:rPr>
              <w:t xml:space="preserve"> Guidance</w:t>
            </w:r>
          </w:p>
        </w:tc>
      </w:tr>
      <w:tr w:rsidR="00BA5D79" w:rsidRPr="00903CDE" w14:paraId="3089AC95" w14:textId="77777777" w:rsidTr="00903CDE">
        <w:tc>
          <w:tcPr>
            <w:tcW w:w="3681" w:type="dxa"/>
          </w:tcPr>
          <w:p w14:paraId="009720CF" w14:textId="77777777" w:rsidR="00BA5D79" w:rsidRPr="00903CDE" w:rsidRDefault="00BA5D79" w:rsidP="00F15231">
            <w:pPr>
              <w:rPr>
                <w:rFonts w:cstheme="minorHAnsi"/>
              </w:rPr>
            </w:pPr>
            <w:r w:rsidRPr="00903CDE">
              <w:rPr>
                <w:rFonts w:cstheme="minorHAnsi"/>
              </w:rPr>
              <w:t>Medicines- records of medicinal product administered</w:t>
            </w:r>
          </w:p>
        </w:tc>
        <w:tc>
          <w:tcPr>
            <w:tcW w:w="3515" w:type="dxa"/>
          </w:tcPr>
          <w:p w14:paraId="40D24485" w14:textId="77777777" w:rsidR="00BA5D79" w:rsidRPr="00903CDE" w:rsidRDefault="00BA5D79" w:rsidP="00F15231">
            <w:pPr>
              <w:rPr>
                <w:rFonts w:cstheme="minorHAnsi"/>
              </w:rPr>
            </w:pPr>
            <w:r w:rsidRPr="00903CDE">
              <w:rPr>
                <w:rFonts w:cstheme="minorHAnsi"/>
              </w:rPr>
              <w:t>Until the child is 25 y/o</w:t>
            </w:r>
          </w:p>
        </w:tc>
        <w:tc>
          <w:tcPr>
            <w:tcW w:w="3544" w:type="dxa"/>
          </w:tcPr>
          <w:p w14:paraId="5D9B794F" w14:textId="77777777" w:rsidR="00BA5D79" w:rsidRPr="00903CDE" w:rsidRDefault="00BA5D79" w:rsidP="00F15231">
            <w:pPr>
              <w:rPr>
                <w:rFonts w:cstheme="minorHAnsi"/>
              </w:rPr>
            </w:pPr>
          </w:p>
        </w:tc>
      </w:tr>
      <w:tr w:rsidR="00CF54EA" w:rsidRPr="00903CDE" w14:paraId="05B41F0C" w14:textId="77777777" w:rsidTr="00903CDE">
        <w:tc>
          <w:tcPr>
            <w:tcW w:w="3681" w:type="dxa"/>
          </w:tcPr>
          <w:p w14:paraId="2CAEA4A6" w14:textId="77777777" w:rsidR="00CF54EA" w:rsidRPr="00903CDE" w:rsidRDefault="00CF54EA" w:rsidP="00211E34">
            <w:pPr>
              <w:rPr>
                <w:rFonts w:cstheme="minorHAnsi"/>
              </w:rPr>
            </w:pPr>
            <w:r w:rsidRPr="00903CDE">
              <w:rPr>
                <w:rFonts w:cstheme="minorHAnsi"/>
              </w:rPr>
              <w:t>Registers</w:t>
            </w:r>
          </w:p>
        </w:tc>
        <w:tc>
          <w:tcPr>
            <w:tcW w:w="3515" w:type="dxa"/>
          </w:tcPr>
          <w:p w14:paraId="42EF49F3" w14:textId="77777777" w:rsidR="00CF54EA" w:rsidRPr="00903CDE" w:rsidRDefault="00FC27EA" w:rsidP="00FC27EA">
            <w:pPr>
              <w:rPr>
                <w:rFonts w:cstheme="minorHAnsi"/>
              </w:rPr>
            </w:pPr>
            <w:r w:rsidRPr="00903CDE">
              <w:rPr>
                <w:rFonts w:cstheme="minorHAnsi"/>
              </w:rPr>
              <w:t>Date of last entry + 3 years</w:t>
            </w:r>
          </w:p>
          <w:p w14:paraId="70F4BA5A" w14:textId="77777777" w:rsidR="00601548" w:rsidRPr="00903CDE" w:rsidRDefault="00AA0EC3" w:rsidP="00AA0EC3">
            <w:pPr>
              <w:rPr>
                <w:rFonts w:cstheme="minorHAnsi"/>
              </w:rPr>
            </w:pPr>
            <w:r w:rsidRPr="00903CDE">
              <w:rPr>
                <w:rFonts w:cstheme="minorHAnsi"/>
              </w:rPr>
              <w:t xml:space="preserve">If the information may be </w:t>
            </w:r>
            <w:r w:rsidR="00601548" w:rsidRPr="00903CDE">
              <w:rPr>
                <w:rFonts w:cstheme="minorHAnsi"/>
              </w:rPr>
              <w:t xml:space="preserve">required for </w:t>
            </w:r>
            <w:r w:rsidR="00BA0227" w:rsidRPr="00903CDE">
              <w:rPr>
                <w:rFonts w:cstheme="minorHAnsi"/>
              </w:rPr>
              <w:t xml:space="preserve">a </w:t>
            </w:r>
            <w:r w:rsidR="00601548" w:rsidRPr="00903CDE">
              <w:rPr>
                <w:rFonts w:cstheme="minorHAnsi"/>
              </w:rPr>
              <w:t>child protection case</w:t>
            </w:r>
            <w:r w:rsidRPr="00903CDE">
              <w:rPr>
                <w:rFonts w:cstheme="minorHAnsi"/>
              </w:rPr>
              <w:t xml:space="preserve"> - </w:t>
            </w:r>
            <w:r w:rsidR="00BA0227" w:rsidRPr="00903CDE">
              <w:rPr>
                <w:rFonts w:cstheme="minorHAnsi"/>
              </w:rPr>
              <w:t>keep until the closure of the setting + 50 years.</w:t>
            </w:r>
          </w:p>
        </w:tc>
        <w:tc>
          <w:tcPr>
            <w:tcW w:w="3544" w:type="dxa"/>
          </w:tcPr>
          <w:p w14:paraId="779E0F0B" w14:textId="77777777" w:rsidR="00CF54EA" w:rsidRPr="00903CDE" w:rsidRDefault="00CF54EA" w:rsidP="00211E34">
            <w:pPr>
              <w:rPr>
                <w:rFonts w:cstheme="minorHAnsi"/>
              </w:rPr>
            </w:pPr>
          </w:p>
        </w:tc>
      </w:tr>
      <w:tr w:rsidR="00CF54EA" w:rsidRPr="00903CDE" w14:paraId="4EAE5552" w14:textId="77777777" w:rsidTr="00903CDE">
        <w:tc>
          <w:tcPr>
            <w:tcW w:w="3681" w:type="dxa"/>
          </w:tcPr>
          <w:p w14:paraId="6A17C12F" w14:textId="77777777" w:rsidR="00CF54EA" w:rsidRPr="00903CDE" w:rsidRDefault="00CF54EA" w:rsidP="00211E34">
            <w:pPr>
              <w:rPr>
                <w:rFonts w:cstheme="minorHAnsi"/>
              </w:rPr>
            </w:pPr>
            <w:r w:rsidRPr="00903CDE">
              <w:rPr>
                <w:rFonts w:cstheme="minorHAnsi"/>
              </w:rPr>
              <w:t>Safeguarding concern records</w:t>
            </w:r>
          </w:p>
        </w:tc>
        <w:tc>
          <w:tcPr>
            <w:tcW w:w="3515" w:type="dxa"/>
          </w:tcPr>
          <w:p w14:paraId="2C5B2043" w14:textId="77777777" w:rsidR="00CF54EA" w:rsidRPr="00903CDE" w:rsidRDefault="003829F9" w:rsidP="00AA0EC3">
            <w:pPr>
              <w:rPr>
                <w:rFonts w:cstheme="minorHAnsi"/>
              </w:rPr>
            </w:pPr>
            <w:r w:rsidRPr="00903CDE">
              <w:rPr>
                <w:rFonts w:cstheme="minorHAnsi"/>
              </w:rPr>
              <w:t>Setting c</w:t>
            </w:r>
            <w:r w:rsidR="00FC27EA" w:rsidRPr="00903CDE">
              <w:rPr>
                <w:rFonts w:cstheme="minorHAnsi"/>
              </w:rPr>
              <w:t xml:space="preserve">losure + </w:t>
            </w:r>
            <w:r w:rsidR="00AA0EC3" w:rsidRPr="00903CDE">
              <w:rPr>
                <w:rFonts w:cstheme="minorHAnsi"/>
              </w:rPr>
              <w:t>5</w:t>
            </w:r>
            <w:r w:rsidR="00FC27EA" w:rsidRPr="00903CDE">
              <w:rPr>
                <w:rFonts w:cstheme="minorHAnsi"/>
              </w:rPr>
              <w:t>0 years</w:t>
            </w:r>
          </w:p>
        </w:tc>
        <w:tc>
          <w:tcPr>
            <w:tcW w:w="3544" w:type="dxa"/>
          </w:tcPr>
          <w:p w14:paraId="3EF16B4E" w14:textId="77777777" w:rsidR="00CF54EA" w:rsidRPr="00903CDE" w:rsidRDefault="00CF54EA" w:rsidP="00211E34">
            <w:pPr>
              <w:rPr>
                <w:rFonts w:cstheme="minorHAnsi"/>
              </w:rPr>
            </w:pPr>
          </w:p>
        </w:tc>
      </w:tr>
      <w:tr w:rsidR="00CF54EA" w:rsidRPr="00903CDE" w14:paraId="2835F4B6" w14:textId="77777777" w:rsidTr="00903CDE">
        <w:tc>
          <w:tcPr>
            <w:tcW w:w="3681" w:type="dxa"/>
          </w:tcPr>
          <w:p w14:paraId="110BF74B" w14:textId="77777777" w:rsidR="00CF54EA" w:rsidRPr="00903CDE" w:rsidRDefault="00CF54EA" w:rsidP="00211E34">
            <w:pPr>
              <w:rPr>
                <w:rFonts w:cstheme="minorHAnsi"/>
              </w:rPr>
            </w:pPr>
            <w:r w:rsidRPr="00903CDE">
              <w:rPr>
                <w:rFonts w:cstheme="minorHAnsi"/>
              </w:rPr>
              <w:t>Staff personnel files and records</w:t>
            </w:r>
          </w:p>
        </w:tc>
        <w:tc>
          <w:tcPr>
            <w:tcW w:w="3515" w:type="dxa"/>
          </w:tcPr>
          <w:p w14:paraId="131ABD2F" w14:textId="77777777" w:rsidR="00CF54EA" w:rsidRPr="00903CDE" w:rsidRDefault="00BA0227" w:rsidP="00211E34">
            <w:pPr>
              <w:rPr>
                <w:rFonts w:cstheme="minorHAnsi"/>
              </w:rPr>
            </w:pPr>
            <w:r w:rsidRPr="00903CDE">
              <w:rPr>
                <w:rFonts w:cstheme="minorHAnsi"/>
              </w:rPr>
              <w:t>For those who have a DBS because they have contact [often alone] with children -</w:t>
            </w:r>
            <w:r w:rsidR="00601548" w:rsidRPr="00903CDE">
              <w:rPr>
                <w:rFonts w:cstheme="minorHAnsi"/>
              </w:rPr>
              <w:t>25 years after employment ends</w:t>
            </w:r>
          </w:p>
          <w:p w14:paraId="03D86BC0" w14:textId="77777777" w:rsidR="00601548" w:rsidRPr="00903CDE" w:rsidRDefault="00601548" w:rsidP="00211E34">
            <w:pPr>
              <w:rPr>
                <w:rFonts w:cstheme="minorHAnsi"/>
              </w:rPr>
            </w:pPr>
          </w:p>
          <w:p w14:paraId="20AA56A8" w14:textId="77777777" w:rsidR="00601548" w:rsidRPr="00903CDE" w:rsidRDefault="00601548" w:rsidP="00211E34">
            <w:pPr>
              <w:rPr>
                <w:rFonts w:cstheme="minorHAnsi"/>
              </w:rPr>
            </w:pPr>
            <w:r w:rsidRPr="00903CDE">
              <w:rPr>
                <w:rFonts w:cstheme="minorHAnsi"/>
              </w:rPr>
              <w:t xml:space="preserve">Or </w:t>
            </w:r>
            <w:r w:rsidR="00BA0227" w:rsidRPr="00903CDE">
              <w:rPr>
                <w:rFonts w:cstheme="minorHAnsi"/>
              </w:rPr>
              <w:t>for those who are not in unsupervised contact with children -</w:t>
            </w:r>
            <w:r w:rsidRPr="00903CDE">
              <w:rPr>
                <w:rFonts w:cstheme="minorHAnsi"/>
              </w:rPr>
              <w:t xml:space="preserve">7 years </w:t>
            </w:r>
            <w:proofErr w:type="spellStart"/>
            <w:proofErr w:type="gramStart"/>
            <w:r w:rsidRPr="00903CDE">
              <w:rPr>
                <w:rFonts w:cstheme="minorHAnsi"/>
              </w:rPr>
              <w:t>eg</w:t>
            </w:r>
            <w:proofErr w:type="spellEnd"/>
            <w:proofErr w:type="gramEnd"/>
            <w:r w:rsidRPr="00903CDE">
              <w:rPr>
                <w:rFonts w:cstheme="minorHAnsi"/>
              </w:rPr>
              <w:t xml:space="preserve"> last year </w:t>
            </w:r>
            <w:r w:rsidR="00C73AE0" w:rsidRPr="00903CDE">
              <w:rPr>
                <w:rFonts w:cstheme="minorHAnsi"/>
              </w:rPr>
              <w:t xml:space="preserve">of </w:t>
            </w:r>
            <w:r w:rsidRPr="00903CDE">
              <w:rPr>
                <w:rFonts w:cstheme="minorHAnsi"/>
              </w:rPr>
              <w:t>employment +6y</w:t>
            </w:r>
          </w:p>
        </w:tc>
        <w:tc>
          <w:tcPr>
            <w:tcW w:w="3544" w:type="dxa"/>
          </w:tcPr>
          <w:p w14:paraId="41CB1D75" w14:textId="77777777" w:rsidR="00CF54EA" w:rsidRPr="00903CDE" w:rsidRDefault="00CF54EA" w:rsidP="00211E34">
            <w:pPr>
              <w:rPr>
                <w:rFonts w:cstheme="minorHAnsi"/>
              </w:rPr>
            </w:pPr>
          </w:p>
        </w:tc>
      </w:tr>
      <w:tr w:rsidR="00CF54EA" w:rsidRPr="00903CDE" w14:paraId="399302AB" w14:textId="77777777" w:rsidTr="00903CDE">
        <w:tc>
          <w:tcPr>
            <w:tcW w:w="3681" w:type="dxa"/>
          </w:tcPr>
          <w:p w14:paraId="38F9B07A" w14:textId="77777777" w:rsidR="00CF54EA" w:rsidRPr="00903CDE" w:rsidRDefault="00BA5D79" w:rsidP="00211E34">
            <w:pPr>
              <w:rPr>
                <w:rFonts w:cstheme="minorHAnsi"/>
              </w:rPr>
            </w:pPr>
            <w:r w:rsidRPr="00903CDE">
              <w:rPr>
                <w:rFonts w:cstheme="minorHAnsi"/>
              </w:rPr>
              <w:t xml:space="preserve">NB The child’s portfolio of work and observations </w:t>
            </w:r>
          </w:p>
        </w:tc>
        <w:tc>
          <w:tcPr>
            <w:tcW w:w="3515" w:type="dxa"/>
          </w:tcPr>
          <w:p w14:paraId="5DF4014D" w14:textId="77777777" w:rsidR="00CF54EA" w:rsidRPr="00903CDE" w:rsidRDefault="00BA5D79" w:rsidP="00211E34">
            <w:pPr>
              <w:rPr>
                <w:rFonts w:cstheme="minorHAnsi"/>
              </w:rPr>
            </w:pPr>
            <w:r w:rsidRPr="00903CDE">
              <w:rPr>
                <w:rFonts w:cstheme="minorHAnsi"/>
              </w:rPr>
              <w:t xml:space="preserve">Sent home with the child – some samples may be retained for self-evaluation and to demonstrate compliance with EYFS guidelines – with permission. </w:t>
            </w:r>
          </w:p>
        </w:tc>
        <w:tc>
          <w:tcPr>
            <w:tcW w:w="3544" w:type="dxa"/>
          </w:tcPr>
          <w:p w14:paraId="74E2BDA9" w14:textId="77777777" w:rsidR="00CF54EA" w:rsidRPr="00903CDE" w:rsidRDefault="00CF54EA" w:rsidP="00211E34">
            <w:pPr>
              <w:rPr>
                <w:rFonts w:cstheme="minorHAnsi"/>
              </w:rPr>
            </w:pPr>
          </w:p>
        </w:tc>
      </w:tr>
      <w:tr w:rsidR="00BA5D79" w:rsidRPr="00903CDE" w14:paraId="157A3B80" w14:textId="77777777" w:rsidTr="00903CDE">
        <w:tc>
          <w:tcPr>
            <w:tcW w:w="3681" w:type="dxa"/>
          </w:tcPr>
          <w:p w14:paraId="57DA20C7" w14:textId="77777777" w:rsidR="00BA5D79" w:rsidRPr="00903CDE" w:rsidRDefault="00BA5D79" w:rsidP="00211E34">
            <w:pPr>
              <w:rPr>
                <w:rFonts w:cstheme="minorHAnsi"/>
              </w:rPr>
            </w:pPr>
          </w:p>
        </w:tc>
        <w:tc>
          <w:tcPr>
            <w:tcW w:w="3515" w:type="dxa"/>
          </w:tcPr>
          <w:p w14:paraId="66285725" w14:textId="77777777" w:rsidR="00BA5D79" w:rsidRPr="00903CDE" w:rsidRDefault="00BA5D79" w:rsidP="00211E34">
            <w:pPr>
              <w:rPr>
                <w:rFonts w:cstheme="minorHAnsi"/>
              </w:rPr>
            </w:pPr>
          </w:p>
        </w:tc>
        <w:tc>
          <w:tcPr>
            <w:tcW w:w="3544" w:type="dxa"/>
          </w:tcPr>
          <w:p w14:paraId="34A41303" w14:textId="77777777" w:rsidR="00BA5D79" w:rsidRPr="00903CDE" w:rsidRDefault="00BA5D79" w:rsidP="00BA5D79">
            <w:pPr>
              <w:rPr>
                <w:rFonts w:cstheme="minorHAnsi"/>
                <w:i/>
              </w:rPr>
            </w:pPr>
            <w:r w:rsidRPr="00903CDE">
              <w:rPr>
                <w:rFonts w:cstheme="minorHAnsi"/>
                <w:i/>
              </w:rPr>
              <w:t xml:space="preserve">Recommendations – </w:t>
            </w:r>
            <w:r w:rsidRPr="00903CDE">
              <w:rPr>
                <w:rFonts w:cstheme="minorHAnsi"/>
                <w:bCs/>
                <w:i/>
                <w:color w:val="000000"/>
              </w:rPr>
              <w:t>Individual providers should determine how long to retain records</w:t>
            </w:r>
          </w:p>
        </w:tc>
      </w:tr>
    </w:tbl>
    <w:p w14:paraId="5177CFB2" w14:textId="77777777" w:rsidR="00BA5D79" w:rsidRPr="00903CDE" w:rsidRDefault="00BA5D79" w:rsidP="00211E34">
      <w:pPr>
        <w:rPr>
          <w:rFonts w:cstheme="minorHAnsi"/>
        </w:rPr>
      </w:pPr>
      <w:r w:rsidRPr="00903CDE">
        <w:rPr>
          <w:rFonts w:cstheme="minorHAnsi"/>
        </w:rPr>
        <w:t>17</w:t>
      </w:r>
      <w:r w:rsidRPr="00903CDE">
        <w:rPr>
          <w:rFonts w:cstheme="minorHAnsi"/>
          <w:vertAlign w:val="superscript"/>
        </w:rPr>
        <w:t>th</w:t>
      </w:r>
      <w:r w:rsidRPr="00903CDE">
        <w:rPr>
          <w:rFonts w:cstheme="minorHAnsi"/>
        </w:rPr>
        <w:t xml:space="preserve"> May 2018</w:t>
      </w:r>
    </w:p>
    <w:p w14:paraId="7C67D3BA" w14:textId="77777777" w:rsidR="00BA5D79" w:rsidRPr="00903CDE" w:rsidRDefault="00BA5D79" w:rsidP="00211E34">
      <w:pPr>
        <w:rPr>
          <w:rFonts w:cstheme="minorHAnsi"/>
        </w:rPr>
      </w:pPr>
      <w:r w:rsidRPr="00903CDE">
        <w:rPr>
          <w:rFonts w:cstheme="minorHAnsi"/>
        </w:rPr>
        <w:t>Solihull Early Years and Education Improvement Service and Solihull Information Governance Team</w:t>
      </w:r>
    </w:p>
    <w:sectPr w:rsidR="00BA5D79" w:rsidRPr="00903CDE" w:rsidSect="00903CDE">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F4267"/>
    <w:multiLevelType w:val="hybridMultilevel"/>
    <w:tmpl w:val="70F8724A"/>
    <w:lvl w:ilvl="0" w:tplc="3D1CC4C6">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A6C566E"/>
    <w:multiLevelType w:val="hybridMultilevel"/>
    <w:tmpl w:val="292E4216"/>
    <w:lvl w:ilvl="0" w:tplc="C14ABB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31C90"/>
    <w:multiLevelType w:val="hybridMultilevel"/>
    <w:tmpl w:val="AB16FA48"/>
    <w:lvl w:ilvl="0" w:tplc="C14ABB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34"/>
    <w:rsid w:val="00001BA4"/>
    <w:rsid w:val="00001F75"/>
    <w:rsid w:val="00071350"/>
    <w:rsid w:val="00197676"/>
    <w:rsid w:val="001B7787"/>
    <w:rsid w:val="00211E34"/>
    <w:rsid w:val="002374EE"/>
    <w:rsid w:val="003829F9"/>
    <w:rsid w:val="005E1580"/>
    <w:rsid w:val="005F798F"/>
    <w:rsid w:val="00601548"/>
    <w:rsid w:val="006C7660"/>
    <w:rsid w:val="00816554"/>
    <w:rsid w:val="008D6F9A"/>
    <w:rsid w:val="00903CDE"/>
    <w:rsid w:val="00AA0EC3"/>
    <w:rsid w:val="00AC4E99"/>
    <w:rsid w:val="00BA0227"/>
    <w:rsid w:val="00BA5D79"/>
    <w:rsid w:val="00C73AE0"/>
    <w:rsid w:val="00CC494F"/>
    <w:rsid w:val="00CF54EA"/>
    <w:rsid w:val="00FC27EA"/>
    <w:rsid w:val="00FD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1B2B"/>
  <w15:docId w15:val="{A154525A-C58B-46F5-BC12-0A498539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E3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F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660"/>
    <w:rPr>
      <w:color w:val="0000FF" w:themeColor="hyperlink"/>
      <w:u w:val="single"/>
    </w:rPr>
  </w:style>
  <w:style w:type="character" w:styleId="UnresolvedMention">
    <w:name w:val="Unresolved Mention"/>
    <w:basedOn w:val="DefaultParagraphFont"/>
    <w:uiPriority w:val="99"/>
    <w:semiHidden/>
    <w:unhideWhenUsed/>
    <w:rsid w:val="006C7660"/>
    <w:rPr>
      <w:color w:val="605E5C"/>
      <w:shd w:val="clear" w:color="auto" w:fill="E1DFDD"/>
    </w:rPr>
  </w:style>
  <w:style w:type="paragraph" w:styleId="ListParagraph">
    <w:name w:val="List Paragraph"/>
    <w:basedOn w:val="Normal"/>
    <w:uiPriority w:val="34"/>
    <w:qFormat/>
    <w:rsid w:val="0090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guidance/early-years-practitioners-using-cyber-security-to-protect-your-settings" TargetMode="External"/><Relationship Id="rId3" Type="http://schemas.openxmlformats.org/officeDocument/2006/relationships/styles" Target="styles.xml"/><Relationship Id="rId7" Type="http://schemas.openxmlformats.org/officeDocument/2006/relationships/hyperlink" Target="https://www.gov.uk/government/publications/safeguarding-practitioners-informationsharing-ad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early-years-foundation-stage-framework--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A033-A318-4D4B-A7E4-7DC63E5F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Lisa (Childrens Services - Solihull MBC)</dc:creator>
  <cp:lastModifiedBy>Marion Dempsey (Solihull MBC)</cp:lastModifiedBy>
  <cp:revision>7</cp:revision>
  <cp:lastPrinted>2022-11-21T15:36:00Z</cp:lastPrinted>
  <dcterms:created xsi:type="dcterms:W3CDTF">2022-11-24T14:31:00Z</dcterms:created>
  <dcterms:modified xsi:type="dcterms:W3CDTF">2022-11-24T14:34:00Z</dcterms:modified>
</cp:coreProperties>
</file>